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A99" w:rsidRPr="00BA1A99" w:rsidRDefault="00BA1A99" w:rsidP="00BA1A99">
      <w:pPr>
        <w:shd w:val="clear" w:color="auto" w:fill="FFFFFF"/>
        <w:spacing w:after="0" w:line="240" w:lineRule="auto"/>
        <w:rPr>
          <w:rFonts w:ascii="Segoe UI" w:eastAsia="Times New Roman" w:hAnsi="Segoe UI" w:cs="Segoe UI"/>
          <w:sz w:val="21"/>
          <w:szCs w:val="21"/>
          <w:lang w:eastAsia="cs-CZ"/>
        </w:rPr>
      </w:pPr>
      <w:r w:rsidRPr="00BA1A99">
        <w:rPr>
          <w:rFonts w:ascii="Segoe UI" w:eastAsia="Times New Roman" w:hAnsi="Segoe UI" w:cs="Segoe UI"/>
          <w:b/>
          <w:bCs/>
          <w:sz w:val="21"/>
          <w:szCs w:val="21"/>
          <w:lang w:eastAsia="cs-CZ"/>
        </w:rPr>
        <w:t>SMLOUVA O DÍLO</w:t>
      </w:r>
      <w:r w:rsidRPr="00BA1A99">
        <w:rPr>
          <w:rFonts w:ascii="Segoe UI" w:eastAsia="Times New Roman" w:hAnsi="Segoe UI" w:cs="Segoe UI"/>
          <w:sz w:val="21"/>
          <w:szCs w:val="21"/>
          <w:lang w:eastAsia="cs-CZ"/>
        </w:rPr>
        <w:br/>
        <w:t>uzavřená podle § 2586 a násl. zákona č. 89/2012 Sb., občanský zákoník (dále jen „OZ“)</w:t>
      </w:r>
    </w:p>
    <w:p w:rsidR="00BA1A99" w:rsidRPr="00BA1A99" w:rsidRDefault="00BA1A99" w:rsidP="00BA1A99">
      <w:pPr>
        <w:spacing w:after="0" w:line="240" w:lineRule="auto"/>
        <w:rPr>
          <w:rFonts w:ascii="Times New Roman" w:eastAsia="Times New Roman" w:hAnsi="Times New Roman" w:cs="Times New Roman"/>
          <w:sz w:val="24"/>
          <w:szCs w:val="24"/>
          <w:lang w:eastAsia="cs-CZ"/>
        </w:rPr>
      </w:pPr>
      <w:r w:rsidRPr="00BA1A99">
        <w:rPr>
          <w:rFonts w:ascii="Times New Roman" w:eastAsia="Times New Roman" w:hAnsi="Times New Roman" w:cs="Times New Roman"/>
          <w:sz w:val="24"/>
          <w:szCs w:val="24"/>
          <w:lang w:eastAsia="cs-CZ"/>
        </w:rPr>
        <w:pict>
          <v:rect id="_x0000_i1026"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I. Smluvní strany</w:t>
      </w:r>
    </w:p>
    <w:p w:rsidR="00BA1A99" w:rsidRPr="00BA1A99" w:rsidRDefault="00BA1A99" w:rsidP="00BA1A99">
      <w:pPr>
        <w:shd w:val="clear" w:color="auto" w:fill="FFFFFF"/>
        <w:spacing w:after="0" w:line="240" w:lineRule="auto"/>
        <w:rPr>
          <w:rFonts w:ascii="Segoe UI" w:eastAsia="Times New Roman" w:hAnsi="Segoe UI" w:cs="Segoe UI"/>
          <w:sz w:val="21"/>
          <w:szCs w:val="21"/>
          <w:lang w:eastAsia="cs-CZ"/>
        </w:rPr>
      </w:pPr>
      <w:r w:rsidRPr="00BA1A99">
        <w:rPr>
          <w:rFonts w:ascii="Segoe UI" w:eastAsia="Times New Roman" w:hAnsi="Segoe UI" w:cs="Segoe UI"/>
          <w:b/>
          <w:bCs/>
          <w:sz w:val="21"/>
          <w:szCs w:val="21"/>
          <w:lang w:eastAsia="cs-CZ"/>
        </w:rPr>
        <w:t>Objednatel</w:t>
      </w:r>
      <w:r w:rsidRPr="00BA1A99">
        <w:rPr>
          <w:rFonts w:ascii="Segoe UI" w:eastAsia="Times New Roman" w:hAnsi="Segoe UI" w:cs="Segoe UI"/>
          <w:sz w:val="21"/>
          <w:szCs w:val="21"/>
          <w:lang w:eastAsia="cs-CZ"/>
        </w:rPr>
        <w:br/>
        <w:t>Základní škola a mateřská škola Ústavní, Praha 8 - Bohnice</w:t>
      </w:r>
      <w:r w:rsidRPr="00BA1A99">
        <w:rPr>
          <w:rFonts w:ascii="Segoe UI" w:eastAsia="Times New Roman" w:hAnsi="Segoe UI" w:cs="Segoe UI"/>
          <w:sz w:val="21"/>
          <w:szCs w:val="21"/>
          <w:lang w:eastAsia="cs-CZ"/>
        </w:rPr>
        <w:br/>
        <w:t>sídlo: Hlivická 400/1, 181 00 Praha 8</w:t>
      </w:r>
      <w:r w:rsidRPr="00BA1A99">
        <w:rPr>
          <w:rFonts w:ascii="Segoe UI" w:eastAsia="Times New Roman" w:hAnsi="Segoe UI" w:cs="Segoe UI"/>
          <w:sz w:val="21"/>
          <w:szCs w:val="21"/>
          <w:lang w:eastAsia="cs-CZ"/>
        </w:rPr>
        <w:br/>
        <w:t>IČO: 604 33 337, DIČ: CZ60433337</w:t>
      </w:r>
      <w:r w:rsidRPr="00BA1A99">
        <w:rPr>
          <w:rFonts w:ascii="Segoe UI" w:eastAsia="Times New Roman" w:hAnsi="Segoe UI" w:cs="Segoe UI"/>
          <w:sz w:val="21"/>
          <w:szCs w:val="21"/>
          <w:lang w:eastAsia="cs-CZ"/>
        </w:rPr>
        <w:br/>
        <w:t>zastoupena: Mgr. Renatou Sedláčkovou, ředitelkou školy</w:t>
      </w:r>
      <w:r w:rsidRPr="00BA1A99">
        <w:rPr>
          <w:rFonts w:ascii="Segoe UI" w:eastAsia="Times New Roman" w:hAnsi="Segoe UI" w:cs="Segoe UI"/>
          <w:sz w:val="21"/>
          <w:szCs w:val="21"/>
          <w:lang w:eastAsia="cs-CZ"/>
        </w:rPr>
        <w:br/>
        <w:t>bankovní spojení: ČSOB, a.s., č. účtu 2635261/0300</w:t>
      </w:r>
      <w:r w:rsidRPr="00BA1A99">
        <w:rPr>
          <w:rFonts w:ascii="Segoe UI" w:eastAsia="Times New Roman" w:hAnsi="Segoe UI" w:cs="Segoe UI"/>
          <w:sz w:val="21"/>
          <w:szCs w:val="21"/>
          <w:lang w:eastAsia="cs-CZ"/>
        </w:rPr>
        <w:br/>
        <w:t>kontaktní e-mail: [doplní objednatel]</w:t>
      </w:r>
    </w:p>
    <w:p w:rsidR="00BA1A99" w:rsidRDefault="00BA1A99" w:rsidP="00BA1A99">
      <w:pPr>
        <w:shd w:val="clear" w:color="auto" w:fill="FFFFFF"/>
        <w:spacing w:after="0" w:line="240" w:lineRule="auto"/>
        <w:rPr>
          <w:rFonts w:ascii="Segoe UI" w:eastAsia="Times New Roman" w:hAnsi="Segoe UI" w:cs="Segoe UI"/>
          <w:sz w:val="21"/>
          <w:szCs w:val="21"/>
          <w:lang w:eastAsia="cs-CZ"/>
        </w:rPr>
      </w:pPr>
      <w:r w:rsidRPr="00BA1A99">
        <w:rPr>
          <w:rFonts w:ascii="Segoe UI" w:eastAsia="Times New Roman" w:hAnsi="Segoe UI" w:cs="Segoe UI"/>
          <w:b/>
          <w:bCs/>
          <w:sz w:val="21"/>
          <w:szCs w:val="21"/>
          <w:lang w:eastAsia="cs-CZ"/>
        </w:rPr>
        <w:t>Zhotovitel</w:t>
      </w:r>
      <w:r w:rsidRPr="00BA1A99">
        <w:rPr>
          <w:rFonts w:ascii="Segoe UI" w:eastAsia="Times New Roman" w:hAnsi="Segoe UI" w:cs="Segoe UI"/>
          <w:sz w:val="21"/>
          <w:szCs w:val="21"/>
          <w:lang w:eastAsia="cs-CZ"/>
        </w:rPr>
        <w:br/>
        <w:t>Flexi-firma OTA s.r.o.</w:t>
      </w:r>
      <w:r w:rsidRPr="00BA1A99">
        <w:rPr>
          <w:rFonts w:ascii="Segoe UI" w:eastAsia="Times New Roman" w:hAnsi="Segoe UI" w:cs="Segoe UI"/>
          <w:sz w:val="21"/>
          <w:szCs w:val="21"/>
          <w:lang w:eastAsia="cs-CZ"/>
        </w:rPr>
        <w:br/>
        <w:t>sídlo: Římská 1204/37, 120 00 Praha 2</w:t>
      </w:r>
      <w:r w:rsidRPr="00BA1A99">
        <w:rPr>
          <w:rFonts w:ascii="Segoe UI" w:eastAsia="Times New Roman" w:hAnsi="Segoe UI" w:cs="Segoe UI"/>
          <w:sz w:val="21"/>
          <w:szCs w:val="21"/>
          <w:lang w:eastAsia="cs-CZ"/>
        </w:rPr>
        <w:br/>
        <w:t>IČO: 289 11 237, DIČ: CZ28911237</w:t>
      </w:r>
      <w:r w:rsidRPr="00BA1A99">
        <w:rPr>
          <w:rFonts w:ascii="Segoe UI" w:eastAsia="Times New Roman" w:hAnsi="Segoe UI" w:cs="Segoe UI"/>
          <w:sz w:val="21"/>
          <w:szCs w:val="21"/>
          <w:lang w:eastAsia="cs-CZ"/>
        </w:rPr>
        <w:br/>
        <w:t>zastoupena: Otou Zemanem, jednatelem</w:t>
      </w:r>
      <w:r w:rsidRPr="00BA1A99">
        <w:rPr>
          <w:rFonts w:ascii="Segoe UI" w:eastAsia="Times New Roman" w:hAnsi="Segoe UI" w:cs="Segoe UI"/>
          <w:sz w:val="21"/>
          <w:szCs w:val="21"/>
          <w:lang w:eastAsia="cs-CZ"/>
        </w:rPr>
        <w:br/>
        <w:t>bankovní spojení: ČSOB, a.s., č. účtu 230075139/0300</w:t>
      </w:r>
      <w:r w:rsidRPr="00BA1A99">
        <w:rPr>
          <w:rFonts w:ascii="Segoe UI" w:eastAsia="Times New Roman" w:hAnsi="Segoe UI" w:cs="Segoe UI"/>
          <w:sz w:val="21"/>
          <w:szCs w:val="21"/>
          <w:lang w:eastAsia="cs-CZ"/>
        </w:rPr>
        <w:br/>
        <w:t xml:space="preserve">kontaktní e-mail: </w:t>
      </w:r>
      <w:r>
        <w:rPr>
          <w:rFonts w:ascii="Segoe UI" w:eastAsia="Times New Roman" w:hAnsi="Segoe UI" w:cs="Segoe UI"/>
          <w:sz w:val="21"/>
          <w:szCs w:val="21"/>
          <w:lang w:eastAsia="cs-CZ"/>
        </w:rPr>
        <w:t>ota@firmaota.cz</w:t>
      </w:r>
    </w:p>
    <w:p w:rsidR="00BA1A99" w:rsidRPr="00BA1A99" w:rsidRDefault="00BA1A99" w:rsidP="00BA1A99">
      <w:pPr>
        <w:shd w:val="clear" w:color="auto" w:fill="FFFFFF"/>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Objednatel a Zhotovitel dále také jednotlivě „Smluvní strana“ a společně „Smluvní strany“.</w:t>
      </w:r>
    </w:p>
    <w:p w:rsidR="00BA1A99" w:rsidRPr="00BA1A99" w:rsidRDefault="00BA1A99" w:rsidP="00BA1A99">
      <w:pPr>
        <w:spacing w:after="0" w:line="240" w:lineRule="auto"/>
        <w:rPr>
          <w:rFonts w:ascii="Times New Roman" w:eastAsia="Times New Roman" w:hAnsi="Times New Roman" w:cs="Times New Roman"/>
          <w:sz w:val="24"/>
          <w:szCs w:val="24"/>
          <w:lang w:eastAsia="cs-CZ"/>
        </w:rPr>
      </w:pPr>
      <w:r w:rsidRPr="00BA1A99">
        <w:rPr>
          <w:rFonts w:ascii="Times New Roman" w:eastAsia="Times New Roman" w:hAnsi="Times New Roman" w:cs="Times New Roman"/>
          <w:sz w:val="24"/>
          <w:szCs w:val="24"/>
          <w:lang w:eastAsia="cs-CZ"/>
        </w:rPr>
        <w:pict>
          <v:rect id="_x0000_i1027"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II. Předmět smlouvy</w:t>
      </w:r>
    </w:p>
    <w:p w:rsidR="00BA1A99" w:rsidRPr="00BA1A99" w:rsidRDefault="00BA1A99" w:rsidP="00BA1A99">
      <w:pPr>
        <w:numPr>
          <w:ilvl w:val="0"/>
          <w:numId w:val="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Zhotovitel se zavazuje na svůj náklad a nebezpečí pro Objednatele provést dílo spočívající v opravě podlah v přízemí a 1. patře budovy ZŠ a MŠ Ústavní, Hlivická 400/1, Praha 8 (dále jen „Dílo“).</w:t>
      </w:r>
    </w:p>
    <w:p w:rsidR="00BA1A99" w:rsidRPr="00BA1A99" w:rsidRDefault="00BA1A99" w:rsidP="00BA1A99">
      <w:pPr>
        <w:numPr>
          <w:ilvl w:val="0"/>
          <w:numId w:val="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Přesná specifikace Díla je uvedena v Příloze č. 1 - „Technická specifikace a výkaz výměr“, která tvoří nedílnou součást této smlouvy.</w:t>
      </w:r>
    </w:p>
    <w:p w:rsidR="00BA1A99" w:rsidRPr="00BA1A99" w:rsidRDefault="00BA1A99" w:rsidP="00BA1A99">
      <w:pPr>
        <w:numPr>
          <w:ilvl w:val="0"/>
          <w:numId w:val="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 xml:space="preserve">Změny rozsahu Díla nebo tzv. </w:t>
      </w:r>
      <w:proofErr w:type="spellStart"/>
      <w:r w:rsidRPr="00BA1A99">
        <w:rPr>
          <w:rFonts w:ascii="Segoe UI" w:eastAsia="Times New Roman" w:hAnsi="Segoe UI" w:cs="Segoe UI"/>
          <w:sz w:val="21"/>
          <w:szCs w:val="21"/>
          <w:lang w:eastAsia="cs-CZ"/>
        </w:rPr>
        <w:t>více-či</w:t>
      </w:r>
      <w:proofErr w:type="spellEnd"/>
      <w:r w:rsidRPr="00BA1A99">
        <w:rPr>
          <w:rFonts w:ascii="Segoe UI" w:eastAsia="Times New Roman" w:hAnsi="Segoe UI" w:cs="Segoe UI"/>
          <w:sz w:val="21"/>
          <w:szCs w:val="21"/>
          <w:lang w:eastAsia="cs-CZ"/>
        </w:rPr>
        <w:t xml:space="preserve"> méně-prací lze provádět pouze na základě písemného dodatku, v němž se Smluvní strany dohodnou zejména na:</w:t>
      </w:r>
    </w:p>
    <w:p w:rsidR="00BA1A99" w:rsidRPr="00BA1A99" w:rsidRDefault="00BA1A99" w:rsidP="00BA1A99">
      <w:pPr>
        <w:numPr>
          <w:ilvl w:val="1"/>
          <w:numId w:val="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rozsahu změny,</w:t>
      </w:r>
    </w:p>
    <w:p w:rsidR="00BA1A99" w:rsidRPr="00BA1A99" w:rsidRDefault="00BA1A99" w:rsidP="00BA1A99">
      <w:pPr>
        <w:numPr>
          <w:ilvl w:val="1"/>
          <w:numId w:val="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nové ceně nebo způsobu jejího určení (viz čl. IV odst. 5),</w:t>
      </w:r>
    </w:p>
    <w:p w:rsidR="00BA1A99" w:rsidRPr="00BA1A99" w:rsidRDefault="00BA1A99" w:rsidP="00BA1A99">
      <w:pPr>
        <w:numPr>
          <w:ilvl w:val="1"/>
          <w:numId w:val="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úpravě termínu dokončení, vyžaduje-li si to povaha změny (§ 2614 OZ).</w:t>
      </w:r>
    </w:p>
    <w:p w:rsidR="00BA1A99" w:rsidRPr="00BA1A99" w:rsidRDefault="00BA1A99" w:rsidP="00BA1A99">
      <w:pPr>
        <w:spacing w:after="0" w:line="240" w:lineRule="auto"/>
        <w:rPr>
          <w:rFonts w:ascii="Times New Roman" w:eastAsia="Times New Roman" w:hAnsi="Times New Roman" w:cs="Times New Roman"/>
          <w:sz w:val="24"/>
          <w:szCs w:val="24"/>
          <w:lang w:eastAsia="cs-CZ"/>
        </w:rPr>
      </w:pPr>
      <w:r w:rsidRPr="00BA1A99">
        <w:rPr>
          <w:rFonts w:ascii="Times New Roman" w:eastAsia="Times New Roman" w:hAnsi="Times New Roman" w:cs="Times New Roman"/>
          <w:sz w:val="24"/>
          <w:szCs w:val="24"/>
          <w:lang w:eastAsia="cs-CZ"/>
        </w:rPr>
        <w:pict>
          <v:rect id="_x0000_i1028"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III. Termín plnění</w:t>
      </w:r>
    </w:p>
    <w:p w:rsidR="00BA1A99" w:rsidRPr="00BA1A99" w:rsidRDefault="00BA1A99" w:rsidP="00BA1A99">
      <w:pPr>
        <w:numPr>
          <w:ilvl w:val="0"/>
          <w:numId w:val="2"/>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Termín zahájení prací: 7. 7. 2025.</w:t>
      </w:r>
    </w:p>
    <w:p w:rsidR="00BA1A99" w:rsidRPr="00BA1A99" w:rsidRDefault="00BA1A99" w:rsidP="00BA1A99">
      <w:pPr>
        <w:numPr>
          <w:ilvl w:val="0"/>
          <w:numId w:val="2"/>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 xml:space="preserve">Termín dokončení a předání Díla dle § 2604 OZ: </w:t>
      </w:r>
      <w:r>
        <w:rPr>
          <w:rFonts w:ascii="Segoe UI" w:eastAsia="Times New Roman" w:hAnsi="Segoe UI" w:cs="Segoe UI"/>
          <w:sz w:val="21"/>
          <w:szCs w:val="21"/>
          <w:lang w:eastAsia="cs-CZ"/>
        </w:rPr>
        <w:t xml:space="preserve">do </w:t>
      </w:r>
      <w:r w:rsidRPr="00BA1A99">
        <w:rPr>
          <w:rFonts w:ascii="Segoe UI" w:eastAsia="Times New Roman" w:hAnsi="Segoe UI" w:cs="Segoe UI"/>
          <w:sz w:val="21"/>
          <w:szCs w:val="21"/>
          <w:lang w:eastAsia="cs-CZ"/>
        </w:rPr>
        <w:t>8. 8. 2025.</w:t>
      </w:r>
    </w:p>
    <w:p w:rsidR="00BA1A99" w:rsidRPr="00BA1A99" w:rsidRDefault="00BA1A99" w:rsidP="00BA1A99">
      <w:pPr>
        <w:numPr>
          <w:ilvl w:val="0"/>
          <w:numId w:val="2"/>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V případě, že Objednatel neposkytne včas součinnost nezbytnou pro řádné plnění, dohodnou se Smluvní strany písemně na prodloužení termínu dokončení o dobu odpovídající prodlení Objednatele.</w:t>
      </w:r>
    </w:p>
    <w:p w:rsidR="00BA1A99" w:rsidRPr="00BA1A99" w:rsidRDefault="00BA1A99" w:rsidP="00BA1A99">
      <w:pPr>
        <w:spacing w:after="0" w:line="240" w:lineRule="auto"/>
        <w:rPr>
          <w:rFonts w:ascii="Times New Roman" w:eastAsia="Times New Roman" w:hAnsi="Times New Roman" w:cs="Times New Roman"/>
          <w:sz w:val="24"/>
          <w:szCs w:val="24"/>
          <w:lang w:eastAsia="cs-CZ"/>
        </w:rPr>
      </w:pPr>
      <w:r w:rsidRPr="00BA1A99">
        <w:rPr>
          <w:rFonts w:ascii="Times New Roman" w:eastAsia="Times New Roman" w:hAnsi="Times New Roman" w:cs="Times New Roman"/>
          <w:sz w:val="24"/>
          <w:szCs w:val="24"/>
          <w:lang w:eastAsia="cs-CZ"/>
        </w:rPr>
        <w:pict>
          <v:rect id="_x0000_i1029" style="width:0;height:0" o:hralign="center" o:hrstd="t" o:hr="t" fillcolor="#a0a0a0" stroked="f"/>
        </w:pict>
      </w:r>
      <w:bookmarkStart w:id="0" w:name="_GoBack"/>
      <w:bookmarkEnd w:id="0"/>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IV. Cena Díla a její změny</w:t>
      </w:r>
    </w:p>
    <w:p w:rsidR="00BA1A99" w:rsidRPr="00BA1A99" w:rsidRDefault="00BA1A99" w:rsidP="00BA1A99">
      <w:pPr>
        <w:numPr>
          <w:ilvl w:val="0"/>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 xml:space="preserve">Cena Díla je sjednána jako cena pevná ve výši </w:t>
      </w:r>
      <w:r w:rsidRPr="00BA1A99">
        <w:rPr>
          <w:rFonts w:ascii="Segoe UI" w:eastAsia="Times New Roman" w:hAnsi="Segoe UI" w:cs="Segoe UI"/>
          <w:b/>
          <w:sz w:val="21"/>
          <w:szCs w:val="21"/>
          <w:lang w:eastAsia="cs-CZ"/>
        </w:rPr>
        <w:t>256.875</w:t>
      </w:r>
      <w:r w:rsidRPr="00BA1A99">
        <w:rPr>
          <w:rFonts w:ascii="Segoe UI" w:eastAsia="Times New Roman" w:hAnsi="Segoe UI" w:cs="Segoe UI"/>
          <w:sz w:val="21"/>
          <w:szCs w:val="21"/>
          <w:lang w:eastAsia="cs-CZ"/>
        </w:rPr>
        <w:t xml:space="preserve"> </w:t>
      </w:r>
      <w:r w:rsidRPr="00BA1A99">
        <w:rPr>
          <w:rFonts w:ascii="Segoe UI" w:eastAsia="Times New Roman" w:hAnsi="Segoe UI" w:cs="Segoe UI"/>
          <w:b/>
          <w:sz w:val="21"/>
          <w:szCs w:val="21"/>
          <w:lang w:eastAsia="cs-CZ"/>
        </w:rPr>
        <w:t>Kč vč. DPH 21 %.</w:t>
      </w:r>
    </w:p>
    <w:p w:rsidR="00BA1A99" w:rsidRPr="00BA1A99" w:rsidRDefault="00BA1A99" w:rsidP="00BA1A99">
      <w:pPr>
        <w:numPr>
          <w:ilvl w:val="1"/>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 xml:space="preserve">Základ daně (bez DPH): </w:t>
      </w:r>
      <w:r>
        <w:rPr>
          <w:rFonts w:ascii="Segoe UI" w:eastAsia="Times New Roman" w:hAnsi="Segoe UI" w:cs="Segoe UI"/>
          <w:sz w:val="21"/>
          <w:szCs w:val="21"/>
          <w:lang w:eastAsia="cs-CZ"/>
        </w:rPr>
        <w:t>212.293</w:t>
      </w:r>
      <w:r w:rsidRPr="00BA1A99">
        <w:rPr>
          <w:rFonts w:ascii="Segoe UI" w:eastAsia="Times New Roman" w:hAnsi="Segoe UI" w:cs="Segoe UI"/>
          <w:sz w:val="21"/>
          <w:szCs w:val="21"/>
          <w:lang w:eastAsia="cs-CZ"/>
        </w:rPr>
        <w:t xml:space="preserve"> Kč.</w:t>
      </w:r>
    </w:p>
    <w:p w:rsidR="00BA1A99" w:rsidRPr="00BA1A99" w:rsidRDefault="00BA1A99" w:rsidP="00BA1A99">
      <w:pPr>
        <w:numPr>
          <w:ilvl w:val="1"/>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 xml:space="preserve">DPH 21 %: </w:t>
      </w:r>
      <w:r>
        <w:rPr>
          <w:rFonts w:ascii="Segoe UI" w:eastAsia="Times New Roman" w:hAnsi="Segoe UI" w:cs="Segoe UI"/>
          <w:sz w:val="21"/>
          <w:szCs w:val="21"/>
          <w:lang w:eastAsia="cs-CZ"/>
        </w:rPr>
        <w:t>44.582</w:t>
      </w:r>
      <w:r w:rsidRPr="00BA1A99">
        <w:rPr>
          <w:rFonts w:ascii="Segoe UI" w:eastAsia="Times New Roman" w:hAnsi="Segoe UI" w:cs="Segoe UI"/>
          <w:sz w:val="21"/>
          <w:szCs w:val="21"/>
          <w:lang w:eastAsia="cs-CZ"/>
        </w:rPr>
        <w:t xml:space="preserve"> Kč.</w:t>
      </w:r>
    </w:p>
    <w:p w:rsidR="00BA1A99" w:rsidRPr="00BA1A99" w:rsidRDefault="00BA1A99" w:rsidP="00BA1A99">
      <w:pPr>
        <w:numPr>
          <w:ilvl w:val="0"/>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Cena zahrnuje veškeré náklady Zhotovitele na provedení Díla v rozsahu specifikovaném touto smlouvou a v Příloze č. 1.</w:t>
      </w:r>
    </w:p>
    <w:p w:rsidR="00BA1A99" w:rsidRPr="00BA1A99" w:rsidRDefault="00BA1A99" w:rsidP="00BA1A99">
      <w:pPr>
        <w:numPr>
          <w:ilvl w:val="0"/>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Ceny měrných jednotek uvedené ve výkazu výměr jsou po dobu plnění neměnné.</w:t>
      </w:r>
    </w:p>
    <w:p w:rsidR="00BA1A99" w:rsidRPr="00BA1A99" w:rsidRDefault="00BA1A99" w:rsidP="00BA1A99">
      <w:pPr>
        <w:numPr>
          <w:ilvl w:val="0"/>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Více- / méně-práce:</w:t>
      </w:r>
    </w:p>
    <w:p w:rsidR="00BA1A99" w:rsidRPr="00BA1A99" w:rsidRDefault="00BA1A99" w:rsidP="00BA1A99">
      <w:pPr>
        <w:numPr>
          <w:ilvl w:val="1"/>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Návrh na změnu rozsahu Díla vyhotoví Zhotovitel v písemné kalkulaci.</w:t>
      </w:r>
    </w:p>
    <w:p w:rsidR="00BA1A99" w:rsidRPr="00BA1A99" w:rsidRDefault="00BA1A99" w:rsidP="00BA1A99">
      <w:pPr>
        <w:numPr>
          <w:ilvl w:val="1"/>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lastRenderedPageBreak/>
        <w:t>Cena se určí na základě jednotkových cen z Přílohy č. 1; není-li to možné, podle cen obvyklých ke dni návrhu.</w:t>
      </w:r>
    </w:p>
    <w:p w:rsidR="00BA1A99" w:rsidRPr="00BA1A99" w:rsidRDefault="00BA1A99" w:rsidP="00BA1A99">
      <w:pPr>
        <w:numPr>
          <w:ilvl w:val="1"/>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Dokud nebude dodatek podepsán oběma stranami, nesmí Zhotovitel práce zahájit.</w:t>
      </w:r>
    </w:p>
    <w:p w:rsidR="00BA1A99" w:rsidRPr="00BA1A99" w:rsidRDefault="00BA1A99" w:rsidP="00BA1A99">
      <w:pPr>
        <w:numPr>
          <w:ilvl w:val="0"/>
          <w:numId w:val="3"/>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Dojde-li k omezení rozsahu Díla, sníží se cena podle § 2614 OZ s přihlédnutím k ušetřeným nákladům.</w:t>
      </w:r>
    </w:p>
    <w:p w:rsidR="00BA1A99" w:rsidRPr="00BA1A99" w:rsidRDefault="00BA1A99" w:rsidP="00BA1A99">
      <w:pPr>
        <w:spacing w:after="0" w:line="240" w:lineRule="auto"/>
        <w:rPr>
          <w:rFonts w:ascii="Times New Roman" w:eastAsia="Times New Roman" w:hAnsi="Times New Roman" w:cs="Times New Roman"/>
          <w:sz w:val="24"/>
          <w:szCs w:val="24"/>
          <w:lang w:eastAsia="cs-CZ"/>
        </w:rPr>
      </w:pPr>
      <w:r w:rsidRPr="00BA1A99">
        <w:rPr>
          <w:rFonts w:ascii="Times New Roman" w:eastAsia="Times New Roman" w:hAnsi="Times New Roman" w:cs="Times New Roman"/>
          <w:sz w:val="24"/>
          <w:szCs w:val="24"/>
          <w:lang w:eastAsia="cs-CZ"/>
        </w:rPr>
        <w:pict>
          <v:rect id="_x0000_i1030"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V. Platební podmínky</w:t>
      </w:r>
    </w:p>
    <w:p w:rsidR="00BA1A99" w:rsidRPr="00BA1A99" w:rsidRDefault="00BA1A99" w:rsidP="005E68CD">
      <w:pPr>
        <w:numPr>
          <w:ilvl w:val="0"/>
          <w:numId w:val="4"/>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Zhotovitel vystaví: konečnou fakturu po předání Díla bez vad a nedodělků bránících užívání.</w:t>
      </w:r>
    </w:p>
    <w:p w:rsidR="00BA1A99" w:rsidRPr="00BA1A99" w:rsidRDefault="00BA1A99" w:rsidP="00BA1A99">
      <w:pPr>
        <w:numPr>
          <w:ilvl w:val="0"/>
          <w:numId w:val="4"/>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Splatnost faktury je 14 dnů ode dne jejího doručení Objednateli (e-mail + datová schránka/pošta).</w:t>
      </w:r>
    </w:p>
    <w:p w:rsidR="00BA1A99" w:rsidRPr="00BA1A99" w:rsidRDefault="00BA1A99" w:rsidP="00BA1A99">
      <w:pPr>
        <w:numPr>
          <w:ilvl w:val="0"/>
          <w:numId w:val="4"/>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Objednatel je oprávněn zadržet 5 % z ceny Díla (retence) po dobu 12 měsíců ode dne převzetí Díla jako jistotu pro krytí vad. Částka bude vyplacena do 14 dnů po uplynutí uvedené lhůty, popř. po odstranění zjištěných vad.</w:t>
      </w:r>
    </w:p>
    <w:p w:rsidR="00BA1A99" w:rsidRPr="00BA1A99" w:rsidRDefault="00BA1A99" w:rsidP="00BA1A99">
      <w:pPr>
        <w:spacing w:after="0" w:line="240" w:lineRule="auto"/>
        <w:rPr>
          <w:rFonts w:ascii="Times New Roman" w:eastAsia="Times New Roman" w:hAnsi="Times New Roman" w:cs="Times New Roman"/>
          <w:sz w:val="24"/>
          <w:szCs w:val="24"/>
          <w:lang w:eastAsia="cs-CZ"/>
        </w:rPr>
      </w:pPr>
      <w:r w:rsidRPr="00BA1A99">
        <w:rPr>
          <w:rFonts w:ascii="Times New Roman" w:eastAsia="Times New Roman" w:hAnsi="Times New Roman" w:cs="Times New Roman"/>
          <w:sz w:val="24"/>
          <w:szCs w:val="24"/>
          <w:lang w:eastAsia="cs-CZ"/>
        </w:rPr>
        <w:pict>
          <v:rect id="_x0000_i1031"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VI. Povinnosti Zhotovitele</w:t>
      </w:r>
    </w:p>
    <w:p w:rsidR="00BA1A99" w:rsidRPr="00BA1A99" w:rsidRDefault="00BA1A99" w:rsidP="00BA1A99">
      <w:pPr>
        <w:numPr>
          <w:ilvl w:val="0"/>
          <w:numId w:val="5"/>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Provést Dílo odborně, v souladu s platnými právními předpisy, normami ČSN, hygienickými a bezpečnostními požadavky.</w:t>
      </w:r>
    </w:p>
    <w:p w:rsidR="00BA1A99" w:rsidRPr="00BA1A99" w:rsidRDefault="00BA1A99" w:rsidP="00BA1A99">
      <w:pPr>
        <w:numPr>
          <w:ilvl w:val="0"/>
          <w:numId w:val="5"/>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Udržovat staveniště v pořádku, zajišťovat BOZP a ochranu životního prostředí; odpad likvidovat dle zákona č. 541/2020 Sb., o odpadech.</w:t>
      </w:r>
    </w:p>
    <w:p w:rsidR="00BA1A99" w:rsidRPr="00BA1A99" w:rsidRDefault="00BA1A99" w:rsidP="00BA1A99">
      <w:pPr>
        <w:numPr>
          <w:ilvl w:val="0"/>
          <w:numId w:val="5"/>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Mít po celou dobu trvání smlouvy uzavřeno pojištění odpovědnosti za škodu s minimálním limitem plnění 5 mil. Kč a na vyžádání předložit pojistnou smlouvu Objednateli.</w:t>
      </w:r>
    </w:p>
    <w:p w:rsidR="00BA1A99" w:rsidRPr="00BA1A99" w:rsidRDefault="00BA1A99" w:rsidP="00BA1A99">
      <w:pPr>
        <w:numPr>
          <w:ilvl w:val="0"/>
          <w:numId w:val="5"/>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Upozornit Objednatele bez zbytečného odkladu na nevhodné pokyny nebo podklady (§ 2595 OZ); jinak odpovídá za vady z tohoto důvodu vzniklé.</w:t>
      </w:r>
    </w:p>
    <w:p w:rsidR="00BA1A99" w:rsidRPr="00BA1A99" w:rsidRDefault="00BA1A99" w:rsidP="00BA1A99">
      <w:pPr>
        <w:spacing w:after="0" w:line="240" w:lineRule="auto"/>
        <w:rPr>
          <w:rFonts w:ascii="Times New Roman" w:eastAsia="Times New Roman" w:hAnsi="Times New Roman" w:cs="Times New Roman"/>
          <w:sz w:val="24"/>
          <w:szCs w:val="24"/>
          <w:lang w:eastAsia="cs-CZ"/>
        </w:rPr>
      </w:pPr>
      <w:r w:rsidRPr="00BA1A99">
        <w:rPr>
          <w:rFonts w:ascii="Times New Roman" w:eastAsia="Times New Roman" w:hAnsi="Times New Roman" w:cs="Times New Roman"/>
          <w:sz w:val="24"/>
          <w:szCs w:val="24"/>
          <w:lang w:eastAsia="cs-CZ"/>
        </w:rPr>
        <w:pict>
          <v:rect id="_x0000_i1032"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VII. Předání a převzetí Díla</w:t>
      </w:r>
    </w:p>
    <w:p w:rsidR="00BA1A99" w:rsidRPr="00BA1A99" w:rsidRDefault="00BA1A99" w:rsidP="00BA1A99">
      <w:pPr>
        <w:numPr>
          <w:ilvl w:val="0"/>
          <w:numId w:val="6"/>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 předání a převzetí se pořídí písemný protokol podepsaný oběma stranami.</w:t>
      </w:r>
    </w:p>
    <w:p w:rsidR="00BA1A99" w:rsidRPr="00BA1A99" w:rsidRDefault="00BA1A99" w:rsidP="00BA1A99">
      <w:pPr>
        <w:numPr>
          <w:ilvl w:val="0"/>
          <w:numId w:val="6"/>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Objednatel je povinen Dílo převzít, pokud nemá vady bránící jeho užívání. Vady a nedodělky budou v protokolu výslovně uvedeny s termínem jejich odstranění.</w:t>
      </w:r>
    </w:p>
    <w:p w:rsidR="00BA1A99" w:rsidRPr="00BA1A99" w:rsidRDefault="00BA1A99" w:rsidP="00BA1A99">
      <w:pPr>
        <w:numPr>
          <w:ilvl w:val="0"/>
          <w:numId w:val="6"/>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Okamžikem podpisu protokolu přechází na Objednatele nebezpečí škody na Díle.</w:t>
      </w:r>
    </w:p>
    <w:p w:rsidR="00BA1A99" w:rsidRPr="00BA1A99" w:rsidRDefault="00BA1A99" w:rsidP="00BA1A99">
      <w:pPr>
        <w:spacing w:after="0" w:line="240" w:lineRule="auto"/>
        <w:rPr>
          <w:rFonts w:ascii="Times New Roman" w:eastAsia="Times New Roman" w:hAnsi="Times New Roman" w:cs="Times New Roman"/>
          <w:sz w:val="24"/>
          <w:szCs w:val="24"/>
          <w:lang w:eastAsia="cs-CZ"/>
        </w:rPr>
      </w:pPr>
      <w:r w:rsidRPr="00BA1A99">
        <w:rPr>
          <w:rFonts w:ascii="Times New Roman" w:eastAsia="Times New Roman" w:hAnsi="Times New Roman" w:cs="Times New Roman"/>
          <w:sz w:val="24"/>
          <w:szCs w:val="24"/>
          <w:lang w:eastAsia="cs-CZ"/>
        </w:rPr>
        <w:pict>
          <v:rect id="_x0000_i1033"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VIII. Odpovědnost za vady a záruka</w:t>
      </w:r>
    </w:p>
    <w:p w:rsidR="00BA1A99" w:rsidRPr="00BA1A99" w:rsidRDefault="00BA1A99" w:rsidP="00BA1A99">
      <w:pPr>
        <w:numPr>
          <w:ilvl w:val="0"/>
          <w:numId w:val="7"/>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Zhotovitel odpovídá za vady podle § 2615 a násl. OZ.</w:t>
      </w:r>
    </w:p>
    <w:p w:rsidR="00BA1A99" w:rsidRPr="00BA1A99" w:rsidRDefault="00BA1A99" w:rsidP="00BA1A99">
      <w:pPr>
        <w:numPr>
          <w:ilvl w:val="0"/>
          <w:numId w:val="7"/>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Zhotovitel poskytuje záruku za jakost v délce 36 měsíců od převzetí Díla.</w:t>
      </w:r>
    </w:p>
    <w:p w:rsidR="00BA1A99" w:rsidRPr="00BA1A99" w:rsidRDefault="00BA1A99" w:rsidP="00BA1A99">
      <w:pPr>
        <w:numPr>
          <w:ilvl w:val="0"/>
          <w:numId w:val="7"/>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Objednatel oznámí zjištěné vady písemně bez zbytečného odkladu. Zhotovitel je odstraní nejpozději do 14 dnů, nedohodnou-li se strany jinak.</w:t>
      </w:r>
    </w:p>
    <w:p w:rsidR="00BA1A99" w:rsidRPr="00BA1A99" w:rsidRDefault="00BA1A99" w:rsidP="00BA1A99">
      <w:pPr>
        <w:numPr>
          <w:ilvl w:val="0"/>
          <w:numId w:val="7"/>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Neuplatní-li Objednatel právo na odstranění vady a vady nebrání užívání Díla, může požadovat přiměřenou slevu z ceny (§ 2619 OZ).</w:t>
      </w:r>
    </w:p>
    <w:p w:rsidR="00BA1A99" w:rsidRPr="00BA1A99" w:rsidRDefault="00BA1A99" w:rsidP="00BA1A99">
      <w:pPr>
        <w:spacing w:after="0" w:line="240" w:lineRule="auto"/>
        <w:rPr>
          <w:rFonts w:ascii="Times New Roman" w:eastAsia="Times New Roman" w:hAnsi="Times New Roman" w:cs="Times New Roman"/>
          <w:sz w:val="24"/>
          <w:szCs w:val="24"/>
          <w:lang w:eastAsia="cs-CZ"/>
        </w:rPr>
      </w:pPr>
      <w:r w:rsidRPr="00BA1A99">
        <w:rPr>
          <w:rFonts w:ascii="Times New Roman" w:eastAsia="Times New Roman" w:hAnsi="Times New Roman" w:cs="Times New Roman"/>
          <w:sz w:val="24"/>
          <w:szCs w:val="24"/>
          <w:lang w:eastAsia="cs-CZ"/>
        </w:rPr>
        <w:pict>
          <v:rect id="_x0000_i1034"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IX. Smluvní pokuty</w:t>
      </w:r>
    </w:p>
    <w:p w:rsidR="00BA1A99" w:rsidRPr="00BA1A99" w:rsidRDefault="00BA1A99" w:rsidP="00BA1A99">
      <w:pPr>
        <w:numPr>
          <w:ilvl w:val="0"/>
          <w:numId w:val="8"/>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Zhotovitel zaplatí za prodlení s termínem dokončení smluvní pokutu 0,1 % z pevné ceny Díla za každý den prodlení, maximálně však 10 % z pevné ceny Díla.</w:t>
      </w:r>
    </w:p>
    <w:p w:rsidR="00BA1A99" w:rsidRPr="00BA1A99" w:rsidRDefault="00BA1A99" w:rsidP="00BA1A99">
      <w:pPr>
        <w:numPr>
          <w:ilvl w:val="0"/>
          <w:numId w:val="8"/>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Objednatel zaplatí za prodlení s úhradou faktury smluvní pokutu 0,05 % z dlužné částky za každý den prodlení, maximálně však 5 % z dlužné částky.</w:t>
      </w:r>
    </w:p>
    <w:p w:rsidR="00BA1A99" w:rsidRPr="00BA1A99" w:rsidRDefault="00BA1A99" w:rsidP="00BA1A99">
      <w:pPr>
        <w:numPr>
          <w:ilvl w:val="0"/>
          <w:numId w:val="8"/>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Zaplacením smluvní pokuty není dotčeno právo na náhradu škody (§ 2050 OZ).</w:t>
      </w:r>
    </w:p>
    <w:p w:rsidR="00BA1A99" w:rsidRPr="00BA1A99" w:rsidRDefault="00BA1A99" w:rsidP="00BA1A99">
      <w:pPr>
        <w:spacing w:after="0" w:line="240" w:lineRule="auto"/>
        <w:rPr>
          <w:rFonts w:ascii="Times New Roman" w:eastAsia="Times New Roman" w:hAnsi="Times New Roman" w:cs="Times New Roman"/>
          <w:sz w:val="24"/>
          <w:szCs w:val="24"/>
          <w:lang w:eastAsia="cs-CZ"/>
        </w:rPr>
      </w:pPr>
      <w:r w:rsidRPr="00BA1A99">
        <w:rPr>
          <w:rFonts w:ascii="Times New Roman" w:eastAsia="Times New Roman" w:hAnsi="Times New Roman" w:cs="Times New Roman"/>
          <w:sz w:val="24"/>
          <w:szCs w:val="24"/>
          <w:lang w:eastAsia="cs-CZ"/>
        </w:rPr>
        <w:pict>
          <v:rect id="_x0000_i1035"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X. Odstoupení od smlouvy</w:t>
      </w:r>
    </w:p>
    <w:p w:rsidR="00BA1A99" w:rsidRPr="00BA1A99" w:rsidRDefault="00BA1A99" w:rsidP="00BA1A99">
      <w:pPr>
        <w:numPr>
          <w:ilvl w:val="0"/>
          <w:numId w:val="9"/>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Objednatel může odstoupit, zejména pokud:</w:t>
      </w:r>
      <w:r w:rsidRPr="00BA1A99">
        <w:rPr>
          <w:rFonts w:ascii="Segoe UI" w:eastAsia="Times New Roman" w:hAnsi="Segoe UI" w:cs="Segoe UI"/>
          <w:sz w:val="21"/>
          <w:szCs w:val="21"/>
          <w:lang w:eastAsia="cs-CZ"/>
        </w:rPr>
        <w:br/>
        <w:t>a) Zhotovitel bezdůvodně přeruší práce na dobu delší než 14 dnů;</w:t>
      </w:r>
      <w:r w:rsidRPr="00BA1A99">
        <w:rPr>
          <w:rFonts w:ascii="Segoe UI" w:eastAsia="Times New Roman" w:hAnsi="Segoe UI" w:cs="Segoe UI"/>
          <w:sz w:val="21"/>
          <w:szCs w:val="21"/>
          <w:lang w:eastAsia="cs-CZ"/>
        </w:rPr>
        <w:br/>
      </w:r>
      <w:r w:rsidRPr="00BA1A99">
        <w:rPr>
          <w:rFonts w:ascii="Segoe UI" w:eastAsia="Times New Roman" w:hAnsi="Segoe UI" w:cs="Segoe UI"/>
          <w:sz w:val="21"/>
          <w:szCs w:val="21"/>
          <w:lang w:eastAsia="cs-CZ"/>
        </w:rPr>
        <w:lastRenderedPageBreak/>
        <w:t>b) Zhotovitel je v prodlení se zahájením prací déle než 14 dnů;</w:t>
      </w:r>
      <w:r w:rsidRPr="00BA1A99">
        <w:rPr>
          <w:rFonts w:ascii="Segoe UI" w:eastAsia="Times New Roman" w:hAnsi="Segoe UI" w:cs="Segoe UI"/>
          <w:sz w:val="21"/>
          <w:szCs w:val="21"/>
          <w:lang w:eastAsia="cs-CZ"/>
        </w:rPr>
        <w:br/>
        <w:t>c) Zhotovitel opakovaně nebo závažně poruší podmínky kvality.</w:t>
      </w:r>
    </w:p>
    <w:p w:rsidR="00BA1A99" w:rsidRPr="00BA1A99" w:rsidRDefault="00BA1A99" w:rsidP="00BA1A99">
      <w:pPr>
        <w:numPr>
          <w:ilvl w:val="0"/>
          <w:numId w:val="9"/>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Zhotovitel může odstoupit, zejména pokud:</w:t>
      </w:r>
      <w:r w:rsidRPr="00BA1A99">
        <w:rPr>
          <w:rFonts w:ascii="Segoe UI" w:eastAsia="Times New Roman" w:hAnsi="Segoe UI" w:cs="Segoe UI"/>
          <w:sz w:val="21"/>
          <w:szCs w:val="21"/>
          <w:lang w:eastAsia="cs-CZ"/>
        </w:rPr>
        <w:br/>
        <w:t>a) nastanou okolnosti dle § 2595 OZ (trvání Objednatele na nevhodném příkazu či materiálu);</w:t>
      </w:r>
      <w:r w:rsidRPr="00BA1A99">
        <w:rPr>
          <w:rFonts w:ascii="Segoe UI" w:eastAsia="Times New Roman" w:hAnsi="Segoe UI" w:cs="Segoe UI"/>
          <w:sz w:val="21"/>
          <w:szCs w:val="21"/>
          <w:lang w:eastAsia="cs-CZ"/>
        </w:rPr>
        <w:br/>
        <w:t>b) bude vůči Objednateli zahájeno insolvenční řízení.</w:t>
      </w:r>
    </w:p>
    <w:p w:rsidR="00BA1A99" w:rsidRPr="00BA1A99" w:rsidRDefault="00BA1A99" w:rsidP="00BA1A99">
      <w:pPr>
        <w:numPr>
          <w:ilvl w:val="0"/>
          <w:numId w:val="9"/>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Účinky odstoupení nastávají doručením písemného oznámení druhé straně; Zhotovitel náleží odměna odpovídající již provedené části Díla (§ 2597 OZ).</w:t>
      </w:r>
    </w:p>
    <w:p w:rsidR="00BA1A99" w:rsidRPr="00BA1A99" w:rsidRDefault="00BA1A99" w:rsidP="00BA1A99">
      <w:pPr>
        <w:spacing w:after="0" w:line="240" w:lineRule="auto"/>
        <w:rPr>
          <w:rFonts w:ascii="Times New Roman" w:eastAsia="Times New Roman" w:hAnsi="Times New Roman" w:cs="Times New Roman"/>
          <w:sz w:val="24"/>
          <w:szCs w:val="24"/>
          <w:lang w:eastAsia="cs-CZ"/>
        </w:rPr>
      </w:pPr>
      <w:r w:rsidRPr="00BA1A99">
        <w:rPr>
          <w:rFonts w:ascii="Times New Roman" w:eastAsia="Times New Roman" w:hAnsi="Times New Roman" w:cs="Times New Roman"/>
          <w:sz w:val="24"/>
          <w:szCs w:val="24"/>
          <w:lang w:eastAsia="cs-CZ"/>
        </w:rPr>
        <w:pict>
          <v:rect id="_x0000_i1036"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XI. Závěrečná ustanovení</w:t>
      </w:r>
    </w:p>
    <w:p w:rsidR="00BA1A99" w:rsidRPr="00BA1A99" w:rsidRDefault="00BA1A99" w:rsidP="00BA1A99">
      <w:pPr>
        <w:numPr>
          <w:ilvl w:val="0"/>
          <w:numId w:val="10"/>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Právní poměry touto smlouvou výslovně neupravené se řídí občanským zákoníkem.</w:t>
      </w:r>
    </w:p>
    <w:p w:rsidR="00BA1A99" w:rsidRPr="00BA1A99" w:rsidRDefault="00BA1A99" w:rsidP="00BA1A99">
      <w:pPr>
        <w:numPr>
          <w:ilvl w:val="0"/>
          <w:numId w:val="10"/>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Smlouvu lze měnit nebo doplňovat pouze písemnými číslovanými dodatky podepsanými oběma Smluvními stranami.</w:t>
      </w:r>
    </w:p>
    <w:p w:rsidR="00BA1A99" w:rsidRPr="00BA1A99" w:rsidRDefault="00BA1A99" w:rsidP="00BA1A99">
      <w:pPr>
        <w:numPr>
          <w:ilvl w:val="0"/>
          <w:numId w:val="10"/>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Smlouva je vyhotovena ve dvou stejnopisech s platností originálu; každá Smluvní strana obdrží jeden.</w:t>
      </w:r>
    </w:p>
    <w:p w:rsidR="00BA1A99" w:rsidRPr="00BA1A99" w:rsidRDefault="00BA1A99" w:rsidP="00BA1A99">
      <w:pPr>
        <w:numPr>
          <w:ilvl w:val="0"/>
          <w:numId w:val="10"/>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Smlouva nabývá účinnosti dnem jejího podpisu oběma Smluvními stranami.</w:t>
      </w:r>
    </w:p>
    <w:p w:rsidR="00BA1A99" w:rsidRPr="00BA1A99" w:rsidRDefault="00BA1A99" w:rsidP="00BA1A99">
      <w:pPr>
        <w:shd w:val="clear" w:color="auto" w:fill="FFFFFF"/>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V Praze dne ………………</w:t>
      </w:r>
    </w:p>
    <w:tbl>
      <w:tblPr>
        <w:tblW w:w="0" w:type="auto"/>
        <w:tblCellSpacing w:w="15" w:type="dxa"/>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2270"/>
        <w:gridCol w:w="1744"/>
      </w:tblGrid>
      <w:tr w:rsidR="00BA1A99" w:rsidRPr="00BA1A99" w:rsidTr="00BA1A99">
        <w:trPr>
          <w:tblHeader/>
          <w:tblCellSpacing w:w="15" w:type="dxa"/>
        </w:trPr>
        <w:tc>
          <w:tcPr>
            <w:tcW w:w="0" w:type="auto"/>
            <w:tcBorders>
              <w:top w:val="single" w:sz="6" w:space="0" w:color="auto"/>
              <w:left w:val="single" w:sz="6" w:space="0" w:color="auto"/>
              <w:bottom w:val="single" w:sz="2" w:space="0" w:color="auto"/>
              <w:right w:val="single" w:sz="6" w:space="0" w:color="auto"/>
            </w:tcBorders>
            <w:shd w:val="clear" w:color="auto" w:fill="FFFFFF"/>
            <w:vAlign w:val="center"/>
            <w:hideMark/>
          </w:tcPr>
          <w:p w:rsidR="00BA1A99" w:rsidRPr="00BA1A99" w:rsidRDefault="00BA1A99" w:rsidP="00BA1A99">
            <w:pPr>
              <w:spacing w:after="0" w:line="240" w:lineRule="auto"/>
              <w:rPr>
                <w:rFonts w:ascii="Segoe UI" w:eastAsia="Times New Roman" w:hAnsi="Segoe UI" w:cs="Segoe UI"/>
                <w:b/>
                <w:bCs/>
                <w:sz w:val="21"/>
                <w:szCs w:val="21"/>
                <w:lang w:eastAsia="cs-CZ"/>
              </w:rPr>
            </w:pPr>
            <w:r w:rsidRPr="00BA1A99">
              <w:rPr>
                <w:rFonts w:ascii="Segoe UI" w:eastAsia="Times New Roman" w:hAnsi="Segoe UI" w:cs="Segoe UI"/>
                <w:b/>
                <w:bCs/>
                <w:sz w:val="21"/>
                <w:szCs w:val="21"/>
                <w:lang w:eastAsia="cs-CZ"/>
              </w:rPr>
              <w:t>Za Objednatele</w:t>
            </w:r>
          </w:p>
        </w:tc>
        <w:tc>
          <w:tcPr>
            <w:tcW w:w="0" w:type="auto"/>
            <w:tcBorders>
              <w:top w:val="single" w:sz="6" w:space="0" w:color="auto"/>
              <w:left w:val="single" w:sz="6" w:space="0" w:color="auto"/>
              <w:bottom w:val="single" w:sz="2" w:space="0" w:color="auto"/>
              <w:right w:val="single" w:sz="6" w:space="0" w:color="auto"/>
            </w:tcBorders>
            <w:shd w:val="clear" w:color="auto" w:fill="FFFFFF"/>
            <w:vAlign w:val="center"/>
            <w:hideMark/>
          </w:tcPr>
          <w:p w:rsidR="00BA1A99" w:rsidRPr="00BA1A99" w:rsidRDefault="00BA1A99" w:rsidP="00BA1A99">
            <w:pPr>
              <w:spacing w:after="0" w:line="240" w:lineRule="auto"/>
              <w:rPr>
                <w:rFonts w:ascii="Segoe UI" w:eastAsia="Times New Roman" w:hAnsi="Segoe UI" w:cs="Segoe UI"/>
                <w:b/>
                <w:bCs/>
                <w:sz w:val="21"/>
                <w:szCs w:val="21"/>
                <w:lang w:eastAsia="cs-CZ"/>
              </w:rPr>
            </w:pPr>
            <w:r w:rsidRPr="00BA1A99">
              <w:rPr>
                <w:rFonts w:ascii="Segoe UI" w:eastAsia="Times New Roman" w:hAnsi="Segoe UI" w:cs="Segoe UI"/>
                <w:b/>
                <w:bCs/>
                <w:sz w:val="21"/>
                <w:szCs w:val="21"/>
                <w:lang w:eastAsia="cs-CZ"/>
              </w:rPr>
              <w:t>Za Zhotovitele</w:t>
            </w:r>
          </w:p>
        </w:tc>
      </w:tr>
      <w:tr w:rsidR="00BA1A99" w:rsidRPr="00BA1A99" w:rsidTr="00BA1A99">
        <w:trPr>
          <w:tblCellSpacing w:w="15" w:type="dxa"/>
        </w:trPr>
        <w:tc>
          <w:tcPr>
            <w:tcW w:w="0" w:type="auto"/>
            <w:shd w:val="clear" w:color="auto" w:fill="FFFFFF"/>
            <w:vAlign w:val="center"/>
            <w:hideMark/>
          </w:tcPr>
          <w:p w:rsidR="00BA1A99" w:rsidRPr="00BA1A99" w:rsidRDefault="00BA1A99" w:rsidP="00BA1A99">
            <w:pPr>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w:t>
            </w:r>
          </w:p>
        </w:tc>
        <w:tc>
          <w:tcPr>
            <w:tcW w:w="0" w:type="auto"/>
            <w:shd w:val="clear" w:color="auto" w:fill="FFFFFF"/>
            <w:vAlign w:val="center"/>
            <w:hideMark/>
          </w:tcPr>
          <w:p w:rsidR="00BA1A99" w:rsidRPr="00BA1A99" w:rsidRDefault="00BA1A99" w:rsidP="00BA1A99">
            <w:pPr>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w:t>
            </w:r>
          </w:p>
        </w:tc>
      </w:tr>
      <w:tr w:rsidR="00BA1A99" w:rsidRPr="00BA1A99" w:rsidTr="00BA1A99">
        <w:trPr>
          <w:tblCellSpacing w:w="15" w:type="dxa"/>
        </w:trPr>
        <w:tc>
          <w:tcPr>
            <w:tcW w:w="0" w:type="auto"/>
            <w:shd w:val="clear" w:color="auto" w:fill="FFFFFF"/>
            <w:vAlign w:val="center"/>
            <w:hideMark/>
          </w:tcPr>
          <w:p w:rsidR="00BA1A99" w:rsidRPr="00BA1A99" w:rsidRDefault="00BA1A99" w:rsidP="00BA1A99">
            <w:pPr>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Mgr. Renata Sedláčková</w:t>
            </w:r>
          </w:p>
        </w:tc>
        <w:tc>
          <w:tcPr>
            <w:tcW w:w="0" w:type="auto"/>
            <w:shd w:val="clear" w:color="auto" w:fill="FFFFFF"/>
            <w:vAlign w:val="center"/>
            <w:hideMark/>
          </w:tcPr>
          <w:p w:rsidR="00BA1A99" w:rsidRPr="00BA1A99" w:rsidRDefault="00BA1A99" w:rsidP="00BA1A99">
            <w:pPr>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Ota Zeman</w:t>
            </w:r>
          </w:p>
        </w:tc>
      </w:tr>
      <w:tr w:rsidR="00BA1A99" w:rsidRPr="00BA1A99" w:rsidTr="00BA1A99">
        <w:trPr>
          <w:tblCellSpacing w:w="15" w:type="dxa"/>
        </w:trPr>
        <w:tc>
          <w:tcPr>
            <w:tcW w:w="0" w:type="auto"/>
            <w:shd w:val="clear" w:color="auto" w:fill="FFFFFF"/>
            <w:vAlign w:val="center"/>
            <w:hideMark/>
          </w:tcPr>
          <w:p w:rsidR="00BA1A99" w:rsidRPr="00BA1A99" w:rsidRDefault="00BA1A99" w:rsidP="00BA1A99">
            <w:pPr>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ředitelka školy</w:t>
            </w:r>
          </w:p>
        </w:tc>
        <w:tc>
          <w:tcPr>
            <w:tcW w:w="0" w:type="auto"/>
            <w:shd w:val="clear" w:color="auto" w:fill="FFFFFF"/>
            <w:vAlign w:val="center"/>
            <w:hideMark/>
          </w:tcPr>
          <w:p w:rsidR="00BA1A99" w:rsidRPr="00BA1A99" w:rsidRDefault="00BA1A99" w:rsidP="00BA1A99">
            <w:pPr>
              <w:spacing w:after="0" w:line="240" w:lineRule="auto"/>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jednatel</w:t>
            </w:r>
          </w:p>
        </w:tc>
      </w:tr>
    </w:tbl>
    <w:p w:rsidR="00BA1A99" w:rsidRPr="00BA1A99" w:rsidRDefault="00BA1A99" w:rsidP="00BA1A99">
      <w:pPr>
        <w:spacing w:after="0" w:line="240" w:lineRule="auto"/>
        <w:rPr>
          <w:rFonts w:ascii="Times New Roman" w:eastAsia="Times New Roman" w:hAnsi="Times New Roman" w:cs="Times New Roman"/>
          <w:sz w:val="24"/>
          <w:szCs w:val="24"/>
          <w:lang w:eastAsia="cs-CZ"/>
        </w:rPr>
      </w:pPr>
      <w:r w:rsidRPr="00BA1A99">
        <w:rPr>
          <w:rFonts w:ascii="Times New Roman" w:eastAsia="Times New Roman" w:hAnsi="Times New Roman" w:cs="Times New Roman"/>
          <w:sz w:val="24"/>
          <w:szCs w:val="24"/>
          <w:lang w:eastAsia="cs-CZ"/>
        </w:rPr>
        <w:pict>
          <v:rect id="_x0000_i1037" style="width:0;height:0" o:hralign="center" o:hrstd="t" o:hr="t" fillcolor="#a0a0a0" stroked="f"/>
        </w:pict>
      </w:r>
    </w:p>
    <w:p w:rsidR="00BA1A99" w:rsidRPr="00BA1A99" w:rsidRDefault="00BA1A99" w:rsidP="00BA1A99">
      <w:pPr>
        <w:shd w:val="clear" w:color="auto" w:fill="FFFFFF"/>
        <w:spacing w:after="0" w:line="240" w:lineRule="auto"/>
        <w:outlineLvl w:val="1"/>
        <w:rPr>
          <w:rFonts w:ascii="Segoe UI" w:eastAsia="Times New Roman" w:hAnsi="Segoe UI" w:cs="Segoe UI"/>
          <w:b/>
          <w:bCs/>
          <w:sz w:val="30"/>
          <w:szCs w:val="30"/>
          <w:lang w:eastAsia="cs-CZ"/>
        </w:rPr>
      </w:pPr>
      <w:r w:rsidRPr="00BA1A99">
        <w:rPr>
          <w:rFonts w:ascii="Segoe UI" w:eastAsia="Times New Roman" w:hAnsi="Segoe UI" w:cs="Segoe UI"/>
          <w:b/>
          <w:bCs/>
          <w:sz w:val="30"/>
          <w:szCs w:val="30"/>
          <w:lang w:eastAsia="cs-CZ"/>
        </w:rPr>
        <w:t>Přílohy</w:t>
      </w:r>
    </w:p>
    <w:p w:rsidR="00BA1A99" w:rsidRPr="00BA1A99" w:rsidRDefault="00BA1A99" w:rsidP="00BA1A99">
      <w:pPr>
        <w:numPr>
          <w:ilvl w:val="0"/>
          <w:numId w:val="11"/>
        </w:numPr>
        <w:shd w:val="clear" w:color="auto" w:fill="FFFFFF"/>
        <w:spacing w:after="0" w:line="240" w:lineRule="auto"/>
        <w:ind w:left="0"/>
        <w:rPr>
          <w:rFonts w:ascii="Segoe UI" w:eastAsia="Times New Roman" w:hAnsi="Segoe UI" w:cs="Segoe UI"/>
          <w:sz w:val="21"/>
          <w:szCs w:val="21"/>
          <w:lang w:eastAsia="cs-CZ"/>
        </w:rPr>
      </w:pPr>
      <w:r w:rsidRPr="00BA1A99">
        <w:rPr>
          <w:rFonts w:ascii="Segoe UI" w:eastAsia="Times New Roman" w:hAnsi="Segoe UI" w:cs="Segoe UI"/>
          <w:sz w:val="21"/>
          <w:szCs w:val="21"/>
          <w:lang w:eastAsia="cs-CZ"/>
        </w:rPr>
        <w:t>Technická specifikace a výkaz výměr</w:t>
      </w:r>
    </w:p>
    <w:p w:rsidR="00BD3FA0" w:rsidRDefault="00BD3FA0"/>
    <w:sectPr w:rsidR="00BD3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80DC5"/>
    <w:multiLevelType w:val="multilevel"/>
    <w:tmpl w:val="BC209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A728B"/>
    <w:multiLevelType w:val="multilevel"/>
    <w:tmpl w:val="25046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842D9"/>
    <w:multiLevelType w:val="multilevel"/>
    <w:tmpl w:val="9DB6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AE7994"/>
    <w:multiLevelType w:val="multilevel"/>
    <w:tmpl w:val="E5EAD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90193E"/>
    <w:multiLevelType w:val="multilevel"/>
    <w:tmpl w:val="45925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BA4AF2"/>
    <w:multiLevelType w:val="multilevel"/>
    <w:tmpl w:val="D2349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0D7419"/>
    <w:multiLevelType w:val="multilevel"/>
    <w:tmpl w:val="498E61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A51448"/>
    <w:multiLevelType w:val="multilevel"/>
    <w:tmpl w:val="7A00D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E530A1"/>
    <w:multiLevelType w:val="multilevel"/>
    <w:tmpl w:val="7FDEE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4E6B2A"/>
    <w:multiLevelType w:val="multilevel"/>
    <w:tmpl w:val="F482C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A46439"/>
    <w:multiLevelType w:val="multilevel"/>
    <w:tmpl w:val="73A64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2"/>
  </w:num>
  <w:num w:numId="4">
    <w:abstractNumId w:val="7"/>
  </w:num>
  <w:num w:numId="5">
    <w:abstractNumId w:val="1"/>
  </w:num>
  <w:num w:numId="6">
    <w:abstractNumId w:val="3"/>
  </w:num>
  <w:num w:numId="7">
    <w:abstractNumId w:val="5"/>
  </w:num>
  <w:num w:numId="8">
    <w:abstractNumId w:val="10"/>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99"/>
    <w:rsid w:val="00BA1A99"/>
    <w:rsid w:val="00BD3F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67F8"/>
  <w15:chartTrackingRefBased/>
  <w15:docId w15:val="{DB1AA0CF-560C-4505-A387-19AA2A0C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BA1A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BA1A9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A1A99"/>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BA1A9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BA1A9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A1A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66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832</Words>
  <Characters>4913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Sedláčková</dc:creator>
  <cp:keywords/>
  <dc:description/>
  <cp:lastModifiedBy>Renata Sedláčková</cp:lastModifiedBy>
  <cp:revision>1</cp:revision>
  <dcterms:created xsi:type="dcterms:W3CDTF">2025-08-05T12:25:00Z</dcterms:created>
  <dcterms:modified xsi:type="dcterms:W3CDTF">2025-08-05T12:31:00Z</dcterms:modified>
</cp:coreProperties>
</file>