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2C9866D3"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470DEB">
        <w:rPr>
          <w:rFonts w:ascii="Arial" w:hAnsi="Arial" w:cs="Arial"/>
          <w:b/>
          <w:sz w:val="28"/>
        </w:rPr>
        <w:t>organizační</w:t>
      </w:r>
      <w:r w:rsidRPr="00934755">
        <w:rPr>
          <w:rFonts w:ascii="Arial" w:hAnsi="Arial" w:cs="Arial"/>
          <w:b/>
          <w:sz w:val="28"/>
        </w:rPr>
        <w:t xml:space="preserve"> činnosti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4D52A925" w:rsidR="00E52FB4" w:rsidRPr="00E52FB4" w:rsidRDefault="00E52FB4" w:rsidP="00934755">
      <w:pPr>
        <w:spacing w:after="0" w:line="276" w:lineRule="auto"/>
        <w:rPr>
          <w:rFonts w:ascii="Arial" w:hAnsi="Arial" w:cs="Arial"/>
        </w:rPr>
      </w:pPr>
      <w:r w:rsidRPr="00E52FB4">
        <w:rPr>
          <w:rFonts w:ascii="Arial" w:hAnsi="Arial" w:cs="Arial"/>
        </w:rPr>
        <w:t>zastoupená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5EDD7EC9" w14:textId="77777777" w:rsidR="00A867D4" w:rsidRDefault="00F31EDB" w:rsidP="00A867D4">
      <w:pPr>
        <w:tabs>
          <w:tab w:val="left" w:pos="1985"/>
        </w:tabs>
        <w:spacing w:after="0" w:line="276" w:lineRule="auto"/>
        <w:rPr>
          <w:rFonts w:ascii="Arial" w:hAnsi="Arial" w:cs="Arial"/>
        </w:rPr>
      </w:pPr>
      <w:r w:rsidRPr="00761CCB">
        <w:rPr>
          <w:rFonts w:ascii="Arial" w:hAnsi="Arial" w:cs="Arial"/>
          <w:bCs/>
        </w:rPr>
        <w:t>Jméno:</w:t>
      </w:r>
      <w:r>
        <w:rPr>
          <w:rFonts w:ascii="Arial" w:hAnsi="Arial" w:cs="Arial"/>
          <w:b/>
        </w:rPr>
        <w:tab/>
      </w:r>
      <w:r w:rsidR="00DD46CF">
        <w:rPr>
          <w:rFonts w:ascii="Arial" w:hAnsi="Arial" w:cs="Arial"/>
          <w:b/>
        </w:rPr>
        <w:tab/>
      </w:r>
      <w:r w:rsidR="00A867D4">
        <w:rPr>
          <w:rFonts w:ascii="Arial" w:hAnsi="Arial" w:cs="Arial"/>
          <w:b/>
        </w:rPr>
        <w:t>ŠIROKÝ Miloš</w:t>
      </w:r>
    </w:p>
    <w:p w14:paraId="7255CD64" w14:textId="7C9F962D" w:rsidR="00A867D4" w:rsidRPr="00E52FB4" w:rsidRDefault="00A867D4" w:rsidP="00A867D4">
      <w:pPr>
        <w:tabs>
          <w:tab w:val="left" w:pos="1985"/>
        </w:tabs>
        <w:spacing w:after="0" w:line="276" w:lineRule="auto"/>
        <w:rPr>
          <w:rFonts w:ascii="Arial" w:hAnsi="Arial" w:cs="Arial"/>
        </w:rPr>
      </w:pPr>
      <w:r>
        <w:rPr>
          <w:rFonts w:ascii="Arial" w:hAnsi="Arial" w:cs="Arial"/>
        </w:rPr>
        <w:t>Adresa:</w:t>
      </w:r>
      <w:r>
        <w:rPr>
          <w:rFonts w:ascii="Arial" w:hAnsi="Arial" w:cs="Arial"/>
        </w:rPr>
        <w:tab/>
      </w:r>
      <w:r>
        <w:rPr>
          <w:rFonts w:ascii="Arial" w:hAnsi="Arial" w:cs="Arial"/>
        </w:rPr>
        <w:tab/>
        <w:t>Kpt. Jaroše 755, Orlová</w:t>
      </w:r>
    </w:p>
    <w:p w14:paraId="60B57681" w14:textId="09D7F2DB" w:rsidR="00A867D4" w:rsidRDefault="00A867D4" w:rsidP="00A867D4">
      <w:pPr>
        <w:tabs>
          <w:tab w:val="left" w:pos="1985"/>
        </w:tabs>
        <w:spacing w:after="0" w:line="276" w:lineRule="auto"/>
        <w:rPr>
          <w:rFonts w:ascii="Arial" w:hAnsi="Arial" w:cs="Arial"/>
          <w:color w:val="000000" w:themeColor="text1"/>
        </w:rPr>
      </w:pPr>
      <w:r>
        <w:rPr>
          <w:rFonts w:ascii="Arial" w:hAnsi="Arial" w:cs="Arial"/>
          <w:color w:val="000000" w:themeColor="text1"/>
        </w:rPr>
        <w:t>N</w:t>
      </w:r>
      <w:r w:rsidRPr="00DA5033">
        <w:rPr>
          <w:rFonts w:ascii="Arial" w:hAnsi="Arial" w:cs="Arial"/>
          <w:color w:val="000000" w:themeColor="text1"/>
        </w:rPr>
        <w:t>arozen</w:t>
      </w:r>
      <w:r>
        <w:rPr>
          <w:rFonts w:ascii="Arial" w:hAnsi="Arial" w:cs="Arial"/>
          <w:color w:val="000000" w:themeColor="text1"/>
        </w:rPr>
        <w:t>:</w:t>
      </w:r>
      <w:r w:rsidRPr="00DA5033">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p>
    <w:p w14:paraId="225628E4" w14:textId="49BD7947" w:rsidR="001E5E93" w:rsidRPr="005A4740" w:rsidRDefault="001E5E93" w:rsidP="00A867D4">
      <w:pPr>
        <w:tabs>
          <w:tab w:val="left" w:pos="1985"/>
        </w:tabs>
        <w:spacing w:after="0" w:line="276" w:lineRule="auto"/>
        <w:rPr>
          <w:rFonts w:ascii="Arial" w:hAnsi="Arial" w:cs="Arial"/>
        </w:rPr>
      </w:pPr>
      <w:r w:rsidRPr="005A4740">
        <w:rPr>
          <w:rFonts w:ascii="Arial" w:hAnsi="Arial" w:cs="Arial"/>
        </w:rPr>
        <w:t xml:space="preserve">IČO: </w:t>
      </w:r>
      <w:r w:rsidRPr="005A4740">
        <w:rPr>
          <w:rFonts w:ascii="Arial" w:hAnsi="Arial" w:cs="Arial"/>
          <w:color w:val="000000"/>
          <w:sz w:val="23"/>
          <w:szCs w:val="23"/>
          <w:shd w:val="clear" w:color="auto" w:fill="FFFFFF"/>
        </w:rPr>
        <w:tab/>
      </w:r>
      <w:r w:rsidR="00F14A2A">
        <w:rPr>
          <w:rFonts w:ascii="Arial" w:hAnsi="Arial" w:cs="Arial"/>
          <w:color w:val="000000"/>
          <w:sz w:val="23"/>
          <w:szCs w:val="23"/>
          <w:shd w:val="clear" w:color="auto" w:fill="FFFFFF"/>
        </w:rPr>
        <w:tab/>
      </w:r>
      <w:r w:rsidR="00A867D4" w:rsidRPr="00A867D4">
        <w:rPr>
          <w:rFonts w:ascii="Arial" w:hAnsi="Arial" w:cs="Arial"/>
          <w:shd w:val="clear" w:color="auto" w:fill="FFFFFF"/>
        </w:rPr>
        <w:t>19500629</w:t>
      </w:r>
    </w:p>
    <w:p w14:paraId="5E6B7896" w14:textId="3C8C6F2F" w:rsidR="001E5E93" w:rsidRPr="00704AB7" w:rsidRDefault="001E5E93" w:rsidP="001E5E93">
      <w:pPr>
        <w:tabs>
          <w:tab w:val="left" w:pos="2127"/>
        </w:tabs>
        <w:spacing w:after="0" w:line="276" w:lineRule="auto"/>
        <w:rPr>
          <w:rFonts w:ascii="Arial" w:hAnsi="Arial" w:cs="Arial"/>
        </w:rPr>
      </w:pPr>
      <w:r w:rsidRPr="005A4740">
        <w:rPr>
          <w:rFonts w:ascii="Arial" w:hAnsi="Arial" w:cs="Arial"/>
        </w:rPr>
        <w:t xml:space="preserve">Bankovní spojení: </w:t>
      </w:r>
      <w:r w:rsidRPr="005A4740">
        <w:rPr>
          <w:rFonts w:ascii="Arial" w:hAnsi="Arial" w:cs="Arial"/>
          <w:color w:val="FF0000"/>
        </w:rPr>
        <w:tab/>
      </w:r>
    </w:p>
    <w:p w14:paraId="0809D986" w14:textId="5BFDF073" w:rsidR="00E52FB4" w:rsidRDefault="00E52FB4" w:rsidP="001E5E93">
      <w:pPr>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198BF653" w14:textId="3EF1E6CF" w:rsidR="00E52FB4" w:rsidRDefault="00745BA8" w:rsidP="00470DEB">
      <w:pPr>
        <w:pStyle w:val="Odstavecseseznamem"/>
        <w:numPr>
          <w:ilvl w:val="0"/>
          <w:numId w:val="14"/>
        </w:numPr>
        <w:spacing w:after="0"/>
        <w:jc w:val="both"/>
        <w:rPr>
          <w:rFonts w:ascii="Arial" w:hAnsi="Arial" w:cs="Arial"/>
        </w:rPr>
      </w:pPr>
      <w:r>
        <w:rPr>
          <w:rFonts w:ascii="Arial" w:hAnsi="Arial" w:cs="Arial"/>
        </w:rPr>
        <w:t>F</w:t>
      </w:r>
      <w:r w:rsidR="00F14A2A">
        <w:rPr>
          <w:rFonts w:ascii="Arial" w:hAnsi="Arial" w:cs="Arial"/>
        </w:rPr>
        <w:t>otbal</w:t>
      </w:r>
      <w:r w:rsidR="0059772B">
        <w:rPr>
          <w:rFonts w:ascii="Arial" w:hAnsi="Arial" w:cs="Arial"/>
        </w:rPr>
        <w:t xml:space="preserve"> – hodinová sazba </w:t>
      </w:r>
      <w:r w:rsidR="00B4791B">
        <w:rPr>
          <w:rFonts w:ascii="Arial" w:hAnsi="Arial" w:cs="Arial"/>
        </w:rPr>
        <w:t>xxx</w:t>
      </w:r>
      <w:r w:rsidR="001D04D2">
        <w:rPr>
          <w:rFonts w:ascii="Arial" w:hAnsi="Arial" w:cs="Arial"/>
        </w:rPr>
        <w:t xml:space="preserve">,- </w:t>
      </w:r>
      <w:r w:rsidR="0059772B">
        <w:rPr>
          <w:rFonts w:ascii="Arial" w:hAnsi="Arial" w:cs="Arial"/>
        </w:rPr>
        <w:t>Kč/h.</w:t>
      </w:r>
    </w:p>
    <w:p w14:paraId="23DBCB4C" w14:textId="77777777" w:rsidR="001D04D2" w:rsidRDefault="001D04D2" w:rsidP="001D04D2">
      <w:pPr>
        <w:pStyle w:val="Odstavecseseznamem"/>
        <w:spacing w:after="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6A1DD8E4"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6920BB">
        <w:rPr>
          <w:rFonts w:ascii="Arial" w:hAnsi="Arial" w:cs="Arial"/>
          <w:sz w:val="22"/>
          <w:szCs w:val="22"/>
        </w:rPr>
        <w:t>01.08.2025 do 30.06.2026</w:t>
      </w:r>
      <w:r w:rsidR="00A908F0">
        <w:rPr>
          <w:rFonts w:ascii="Arial" w:hAnsi="Arial" w:cs="Arial"/>
          <w:sz w:val="22"/>
          <w:szCs w:val="22"/>
        </w:rPr>
        <w:t>.</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655A3529" w14:textId="77777777" w:rsidR="00F47618" w:rsidRDefault="00F47618" w:rsidP="00934755">
      <w:pPr>
        <w:pStyle w:val="Zkladntext"/>
        <w:spacing w:line="276" w:lineRule="auto"/>
        <w:rPr>
          <w:rFonts w:ascii="Arial" w:hAnsi="Arial" w:cs="Arial"/>
          <w:sz w:val="22"/>
          <w:szCs w:val="22"/>
        </w:rPr>
      </w:pPr>
    </w:p>
    <w:p w14:paraId="5E914BA8" w14:textId="77777777" w:rsidR="001E5E93" w:rsidRDefault="001E5E93" w:rsidP="00934755">
      <w:pPr>
        <w:pStyle w:val="Zkladntext"/>
        <w:spacing w:line="276" w:lineRule="auto"/>
        <w:rPr>
          <w:rFonts w:ascii="Arial" w:hAnsi="Arial" w:cs="Arial"/>
          <w:sz w:val="22"/>
          <w:szCs w:val="22"/>
        </w:rPr>
      </w:pPr>
    </w:p>
    <w:p w14:paraId="56F9C1A3" w14:textId="77777777" w:rsidR="001E5E93" w:rsidRPr="0070084F" w:rsidRDefault="001E5E93"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4D1D2BE9" w:rsidR="00C41598" w:rsidRDefault="00C41598" w:rsidP="00934755">
      <w:pPr>
        <w:spacing w:line="276" w:lineRule="auto"/>
        <w:rPr>
          <w:rFonts w:ascii="Arial" w:hAnsi="Arial" w:cs="Arial"/>
          <w:b/>
        </w:rPr>
      </w:pPr>
    </w:p>
    <w:p w14:paraId="498651B2" w14:textId="765A92BE"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006920BB">
        <w:rPr>
          <w:rFonts w:ascii="Arial" w:hAnsi="Arial" w:cs="Arial"/>
        </w:rPr>
        <w:t>01.08.2025</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r w:rsidR="006920BB">
        <w:rPr>
          <w:rFonts w:ascii="Arial" w:hAnsi="Arial" w:cs="Arial"/>
        </w:rPr>
        <w:t>01.08.2025</w:t>
      </w:r>
    </w:p>
    <w:p w14:paraId="40F8F860" w14:textId="7173954B"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4D02B100" w14:textId="7F10E19F" w:rsidR="00C41598" w:rsidRPr="00095739" w:rsidRDefault="00C41598" w:rsidP="00934755">
      <w:pPr>
        <w:pStyle w:val="NormlnIMP"/>
        <w:spacing w:line="276" w:lineRule="auto"/>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4FF20334" w14:textId="77777777" w:rsidR="00F47618" w:rsidRDefault="00F47618" w:rsidP="00934755">
      <w:pPr>
        <w:jc w:val="both"/>
        <w:rPr>
          <w:rFonts w:ascii="Arial" w:hAnsi="Arial" w:cs="Arial"/>
          <w:b/>
        </w:rPr>
      </w:pPr>
    </w:p>
    <w:p w14:paraId="2EBBC79C" w14:textId="77777777" w:rsidR="001E5E93" w:rsidRDefault="001E5E93" w:rsidP="00934755">
      <w:pPr>
        <w:jc w:val="both"/>
        <w:rPr>
          <w:rFonts w:ascii="Arial" w:hAnsi="Arial" w:cs="Arial"/>
          <w:b/>
        </w:rPr>
      </w:pPr>
    </w:p>
    <w:p w14:paraId="1822974C" w14:textId="46867177" w:rsidR="00934755" w:rsidRPr="0070084F" w:rsidRDefault="00934755" w:rsidP="00934755">
      <w:pPr>
        <w:jc w:val="both"/>
        <w:rPr>
          <w:rFonts w:ascii="Arial" w:hAnsi="Arial" w:cs="Arial"/>
        </w:rPr>
      </w:pPr>
      <w:r w:rsidRPr="0070084F">
        <w:rPr>
          <w:rFonts w:ascii="Arial" w:hAnsi="Arial" w:cs="Arial"/>
          <w:b/>
        </w:rPr>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351141A" w14:textId="1FAEE62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w:t>
      </w:r>
      <w:r w:rsidR="0027566B">
        <w:rPr>
          <w:rFonts w:ascii="Arial" w:hAnsi="Arial" w:cs="Arial"/>
        </w:rPr>
        <w:t>sportovní činnost</w:t>
      </w:r>
      <w:r w:rsidRPr="0070084F">
        <w:rPr>
          <w:rFonts w:ascii="Arial" w:hAnsi="Arial" w:cs="Arial"/>
        </w:rPr>
        <w:t xml:space="preserve">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14:paraId="487CF233" w14:textId="13C01A2C"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hlavních cílů sportovní sezóny</w:t>
      </w:r>
      <w:r w:rsidR="004B00A9">
        <w:rPr>
          <w:rFonts w:ascii="Arial" w:hAnsi="Arial" w:cs="Arial"/>
        </w:rPr>
        <w:t>;</w:t>
      </w:r>
    </w:p>
    <w:p w14:paraId="7C6476AD" w14:textId="68FB7974"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plány</w:t>
      </w:r>
      <w:r w:rsidR="0027566B">
        <w:rPr>
          <w:rFonts w:ascii="Arial" w:hAnsi="Arial" w:cs="Arial"/>
        </w:rPr>
        <w:t xml:space="preserve"> sportovní činnosti</w:t>
      </w:r>
      <w:r w:rsidRPr="0070084F">
        <w:rPr>
          <w:rFonts w:ascii="Arial" w:hAnsi="Arial" w:cs="Arial"/>
        </w:rPr>
        <w:t xml:space="preserve"> jím vedených sportovců, sleduje jejich výkonnost (testování, úspěšnost, výsledky v soutě</w:t>
      </w:r>
      <w:r w:rsidR="004B00A9">
        <w:rPr>
          <w:rFonts w:ascii="Arial" w:hAnsi="Arial" w:cs="Arial"/>
        </w:rPr>
        <w:t>žích atd.);</w:t>
      </w:r>
    </w:p>
    <w:p w14:paraId="3529B71F" w14:textId="24FBB895"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sportovní přípravy</w:t>
      </w:r>
      <w:r w:rsidR="0027566B">
        <w:rPr>
          <w:rFonts w:ascii="Arial" w:hAnsi="Arial" w:cs="Arial"/>
        </w:rPr>
        <w:t xml:space="preserve"> svěřenců;</w:t>
      </w:r>
    </w:p>
    <w:p w14:paraId="1C62E5DF" w14:textId="7777777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14:paraId="19196C0A" w14:textId="62B12283"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organizačním zastoupením v oddíle </w:t>
      </w:r>
      <w:r w:rsidR="002D1C93">
        <w:rPr>
          <w:rFonts w:ascii="Arial" w:hAnsi="Arial" w:cs="Arial"/>
        </w:rPr>
        <w:t>hokeje</w:t>
      </w:r>
      <w:r>
        <w:rPr>
          <w:rFonts w:ascii="Arial" w:hAnsi="Arial" w:cs="Arial"/>
        </w:rPr>
        <w:t xml:space="preserve"> v MSK Orlová.</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D9376" w14:textId="77777777" w:rsidR="000F7C8C" w:rsidRDefault="000F7C8C" w:rsidP="00C41598">
      <w:pPr>
        <w:spacing w:after="0" w:line="240" w:lineRule="auto"/>
      </w:pPr>
      <w:r>
        <w:separator/>
      </w:r>
    </w:p>
  </w:endnote>
  <w:endnote w:type="continuationSeparator" w:id="0">
    <w:p w14:paraId="447A0398" w14:textId="77777777" w:rsidR="000F7C8C" w:rsidRDefault="000F7C8C"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43A2" w14:textId="77777777" w:rsidR="000F7C8C" w:rsidRDefault="000F7C8C" w:rsidP="00C41598">
      <w:pPr>
        <w:spacing w:after="0" w:line="240" w:lineRule="auto"/>
      </w:pPr>
      <w:r>
        <w:separator/>
      </w:r>
    </w:p>
  </w:footnote>
  <w:footnote w:type="continuationSeparator" w:id="0">
    <w:p w14:paraId="6F36EE3E" w14:textId="77777777" w:rsidR="000F7C8C" w:rsidRDefault="000F7C8C"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BB368"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02891"/>
    <w:rsid w:val="00053CE4"/>
    <w:rsid w:val="00063B56"/>
    <w:rsid w:val="000653B3"/>
    <w:rsid w:val="00092F31"/>
    <w:rsid w:val="000A08EE"/>
    <w:rsid w:val="000C4A3C"/>
    <w:rsid w:val="000C5918"/>
    <w:rsid w:val="000D5B77"/>
    <w:rsid w:val="000F7C8C"/>
    <w:rsid w:val="00116BDC"/>
    <w:rsid w:val="0014374B"/>
    <w:rsid w:val="001C2009"/>
    <w:rsid w:val="001D04D2"/>
    <w:rsid w:val="001E5E93"/>
    <w:rsid w:val="001E70E0"/>
    <w:rsid w:val="00233F0B"/>
    <w:rsid w:val="00250933"/>
    <w:rsid w:val="0027566B"/>
    <w:rsid w:val="002967D7"/>
    <w:rsid w:val="002D1C93"/>
    <w:rsid w:val="003018AA"/>
    <w:rsid w:val="00310196"/>
    <w:rsid w:val="00334E2B"/>
    <w:rsid w:val="00335F01"/>
    <w:rsid w:val="00343DD5"/>
    <w:rsid w:val="003C06C5"/>
    <w:rsid w:val="003E3869"/>
    <w:rsid w:val="00426C3E"/>
    <w:rsid w:val="00462A7D"/>
    <w:rsid w:val="00470DEB"/>
    <w:rsid w:val="00487C0A"/>
    <w:rsid w:val="004B00A9"/>
    <w:rsid w:val="004D1535"/>
    <w:rsid w:val="004D301C"/>
    <w:rsid w:val="00553F64"/>
    <w:rsid w:val="0059772B"/>
    <w:rsid w:val="005B2D56"/>
    <w:rsid w:val="005B7437"/>
    <w:rsid w:val="005E3BD3"/>
    <w:rsid w:val="006474A1"/>
    <w:rsid w:val="006920BB"/>
    <w:rsid w:val="006A2643"/>
    <w:rsid w:val="006F3376"/>
    <w:rsid w:val="00704AB7"/>
    <w:rsid w:val="00733EA6"/>
    <w:rsid w:val="007353D3"/>
    <w:rsid w:val="00745BA8"/>
    <w:rsid w:val="00753231"/>
    <w:rsid w:val="00767D4B"/>
    <w:rsid w:val="00793AF7"/>
    <w:rsid w:val="007A01FB"/>
    <w:rsid w:val="007A2847"/>
    <w:rsid w:val="007F0E08"/>
    <w:rsid w:val="00802F26"/>
    <w:rsid w:val="008152AE"/>
    <w:rsid w:val="0082465F"/>
    <w:rsid w:val="0092696C"/>
    <w:rsid w:val="00934755"/>
    <w:rsid w:val="00942283"/>
    <w:rsid w:val="00952371"/>
    <w:rsid w:val="00961609"/>
    <w:rsid w:val="009624DA"/>
    <w:rsid w:val="0097529B"/>
    <w:rsid w:val="00A13E44"/>
    <w:rsid w:val="00A468DF"/>
    <w:rsid w:val="00A60FFE"/>
    <w:rsid w:val="00A867D4"/>
    <w:rsid w:val="00A908F0"/>
    <w:rsid w:val="00AC2C6E"/>
    <w:rsid w:val="00AE5A67"/>
    <w:rsid w:val="00B2314E"/>
    <w:rsid w:val="00B3394A"/>
    <w:rsid w:val="00B34538"/>
    <w:rsid w:val="00B35C8A"/>
    <w:rsid w:val="00B4791B"/>
    <w:rsid w:val="00B90924"/>
    <w:rsid w:val="00B94EF2"/>
    <w:rsid w:val="00BB3580"/>
    <w:rsid w:val="00BB3D3D"/>
    <w:rsid w:val="00C02FCE"/>
    <w:rsid w:val="00C41598"/>
    <w:rsid w:val="00C45A0A"/>
    <w:rsid w:val="00C577B5"/>
    <w:rsid w:val="00C96058"/>
    <w:rsid w:val="00CC5A8F"/>
    <w:rsid w:val="00CE0D2E"/>
    <w:rsid w:val="00D3305C"/>
    <w:rsid w:val="00D53372"/>
    <w:rsid w:val="00DD46CF"/>
    <w:rsid w:val="00DE49C0"/>
    <w:rsid w:val="00E52407"/>
    <w:rsid w:val="00E52FB4"/>
    <w:rsid w:val="00E81F0B"/>
    <w:rsid w:val="00ED0DBC"/>
    <w:rsid w:val="00ED3211"/>
    <w:rsid w:val="00F106C3"/>
    <w:rsid w:val="00F14A2A"/>
    <w:rsid w:val="00F31EDB"/>
    <w:rsid w:val="00F341B7"/>
    <w:rsid w:val="00F47618"/>
    <w:rsid w:val="00F905B8"/>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5604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3</cp:revision>
  <cp:lastPrinted>2024-08-22T07:52:00Z</cp:lastPrinted>
  <dcterms:created xsi:type="dcterms:W3CDTF">2025-08-05T11:12:00Z</dcterms:created>
  <dcterms:modified xsi:type="dcterms:W3CDTF">2025-08-05T11:13:00Z</dcterms:modified>
</cp:coreProperties>
</file>