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13E79" w14:textId="7347B2B2" w:rsidR="0039190E" w:rsidRPr="009B5615" w:rsidRDefault="0039190E" w:rsidP="002B70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</w:rPr>
      </w:pPr>
      <w:r w:rsidRPr="009B5615">
        <w:rPr>
          <w:b/>
          <w:caps/>
          <w:color w:val="000000"/>
        </w:rPr>
        <w:t xml:space="preserve">dodatek č. </w:t>
      </w:r>
      <w:r w:rsidR="00303100" w:rsidRPr="009B5615">
        <w:rPr>
          <w:b/>
          <w:caps/>
          <w:color w:val="000000"/>
        </w:rPr>
        <w:t>1</w:t>
      </w:r>
    </w:p>
    <w:p w14:paraId="729F621C" w14:textId="4179D70E" w:rsidR="00F10574" w:rsidRPr="009B5615" w:rsidRDefault="0039190E" w:rsidP="002B709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aps/>
          <w:color w:val="000000"/>
        </w:rPr>
      </w:pPr>
      <w:r w:rsidRPr="009B5615">
        <w:rPr>
          <w:b/>
          <w:caps/>
          <w:color w:val="000000"/>
        </w:rPr>
        <w:t>k</w:t>
      </w:r>
      <w:r w:rsidR="00303100" w:rsidRPr="009B5615">
        <w:rPr>
          <w:b/>
          <w:caps/>
          <w:color w:val="000000"/>
        </w:rPr>
        <w:t>E SMLOUVĚ O SPOLUPRÁCI PO SKONČENÍ KLINICKÉHO HODNOCENÍ</w:t>
      </w:r>
    </w:p>
    <w:p w14:paraId="6783D13E" w14:textId="4A065DEB" w:rsidR="00F10574" w:rsidRPr="009B5615" w:rsidRDefault="0066558C" w:rsidP="002B7095">
      <w:pPr>
        <w:jc w:val="center"/>
      </w:pPr>
      <w:r w:rsidRPr="009B5615">
        <w:t>(„</w:t>
      </w:r>
      <w:r w:rsidR="0039190E" w:rsidRPr="009B5615">
        <w:rPr>
          <w:b/>
        </w:rPr>
        <w:t>Dodatek</w:t>
      </w:r>
      <w:r w:rsidRPr="009B5615">
        <w:t>“)</w:t>
      </w:r>
    </w:p>
    <w:p w14:paraId="46FF2824" w14:textId="48333854" w:rsidR="00F10574" w:rsidRPr="009B5615" w:rsidRDefault="002665BB" w:rsidP="00A57C7E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mallCaps/>
          <w:color w:val="000000"/>
        </w:rPr>
      </w:pPr>
      <w:r w:rsidRPr="009B5615">
        <w:rPr>
          <w:b/>
          <w:smallCaps/>
          <w:color w:val="000000"/>
        </w:rPr>
        <w:t>S</w:t>
      </w:r>
      <w:r w:rsidR="0066558C" w:rsidRPr="009B5615">
        <w:rPr>
          <w:b/>
          <w:smallCaps/>
          <w:color w:val="000000"/>
        </w:rPr>
        <w:t>mluvní strany</w:t>
      </w:r>
    </w:p>
    <w:p w14:paraId="45B3C724" w14:textId="2A7EED47" w:rsidR="00F10574" w:rsidRPr="009B5615" w:rsidRDefault="00263197" w:rsidP="002B7095">
      <w:pPr>
        <w:numPr>
          <w:ilvl w:val="0"/>
          <w:numId w:val="1"/>
        </w:numPr>
        <w:rPr>
          <w:b/>
        </w:rPr>
      </w:pPr>
      <w:proofErr w:type="spellStart"/>
      <w:r w:rsidRPr="009B5615">
        <w:rPr>
          <w:b/>
        </w:rPr>
        <w:t>Janssen-Cilag</w:t>
      </w:r>
      <w:proofErr w:type="spellEnd"/>
      <w:r w:rsidRPr="009B5615">
        <w:rPr>
          <w:b/>
        </w:rPr>
        <w:t xml:space="preserve"> s.r.o.</w:t>
      </w:r>
    </w:p>
    <w:p w14:paraId="229FB42D" w14:textId="652A7B4B" w:rsidR="003A02A8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s</w:t>
      </w:r>
      <w:r w:rsidR="0066558C" w:rsidRPr="009B5615">
        <w:rPr>
          <w:color w:val="000000"/>
        </w:rPr>
        <w:t>e sídlem</w:t>
      </w:r>
      <w:r w:rsidR="00A45EF9" w:rsidRPr="009B5615">
        <w:rPr>
          <w:color w:val="000000"/>
        </w:rPr>
        <w:t>:</w:t>
      </w:r>
      <w:r w:rsidR="0066558C" w:rsidRPr="009B5615">
        <w:rPr>
          <w:color w:val="000000"/>
        </w:rPr>
        <w:t xml:space="preserve"> </w:t>
      </w:r>
      <w:r w:rsidR="00263197" w:rsidRPr="009B5615">
        <w:rPr>
          <w:color w:val="000000"/>
        </w:rPr>
        <w:t xml:space="preserve">Walterovo náměstí 329/1, 158 00 Praha 5 </w:t>
      </w:r>
    </w:p>
    <w:p w14:paraId="725C77DD" w14:textId="606F4E65" w:rsidR="002B7095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IČO: 271 46 928</w:t>
      </w:r>
    </w:p>
    <w:p w14:paraId="6799EA80" w14:textId="7537A25B" w:rsidR="00A45EF9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z</w:t>
      </w:r>
      <w:r w:rsidR="00A45EF9" w:rsidRPr="009B5615">
        <w:rPr>
          <w:color w:val="000000"/>
        </w:rPr>
        <w:t xml:space="preserve">apsána v obchodním rejstříku vedeném </w:t>
      </w:r>
      <w:r w:rsidR="00A45EF9" w:rsidRPr="009B5615">
        <w:t>u Městského soudu v Praze</w:t>
      </w:r>
      <w:r w:rsidR="00A45EF9" w:rsidRPr="009B5615">
        <w:rPr>
          <w:color w:val="000000"/>
        </w:rPr>
        <w:t xml:space="preserve"> pod </w:t>
      </w:r>
      <w:proofErr w:type="spellStart"/>
      <w:r w:rsidR="00A45EF9" w:rsidRPr="009B5615">
        <w:rPr>
          <w:color w:val="000000"/>
        </w:rPr>
        <w:t>sp</w:t>
      </w:r>
      <w:proofErr w:type="spellEnd"/>
      <w:r w:rsidR="00A45EF9" w:rsidRPr="009B5615">
        <w:rPr>
          <w:color w:val="000000"/>
        </w:rPr>
        <w:t xml:space="preserve">. zn.: C 99837 </w:t>
      </w:r>
    </w:p>
    <w:p w14:paraId="333F64E1" w14:textId="45869F69" w:rsidR="003A02A8" w:rsidRPr="009B5615" w:rsidRDefault="002B7095" w:rsidP="002B7095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z</w:t>
      </w:r>
      <w:r w:rsidR="00A45EF9" w:rsidRPr="009B5615">
        <w:rPr>
          <w:color w:val="000000"/>
        </w:rPr>
        <w:t xml:space="preserve">astoupena: </w:t>
      </w:r>
      <w:proofErr w:type="spellStart"/>
      <w:r w:rsidR="00874D61" w:rsidRPr="009B5615">
        <w:t>Pygmalionem</w:t>
      </w:r>
      <w:proofErr w:type="spellEnd"/>
      <w:r w:rsidR="00874D61" w:rsidRPr="009B5615">
        <w:t xml:space="preserve"> </w:t>
      </w:r>
      <w:proofErr w:type="spellStart"/>
      <w:r w:rsidR="00874D61" w:rsidRPr="009B5615">
        <w:t>Anastasopoulosen</w:t>
      </w:r>
      <w:proofErr w:type="spellEnd"/>
      <w:r w:rsidR="00A45EF9" w:rsidRPr="009B5615">
        <w:rPr>
          <w:color w:val="000000"/>
        </w:rPr>
        <w:t>, jednatelem</w:t>
      </w:r>
      <w:r w:rsidR="0066558C" w:rsidRPr="009B5615">
        <w:rPr>
          <w:color w:val="000000"/>
        </w:rPr>
        <w:t xml:space="preserve"> </w:t>
      </w:r>
    </w:p>
    <w:p w14:paraId="44D27BCB" w14:textId="6E4F3E3E" w:rsidR="00702160" w:rsidRPr="009B5615" w:rsidRDefault="0066558C" w:rsidP="002D7BBF">
      <w:pPr>
        <w:keepNext/>
        <w:pBdr>
          <w:top w:val="nil"/>
          <w:left w:val="nil"/>
          <w:bottom w:val="nil"/>
          <w:right w:val="nil"/>
          <w:between w:val="nil"/>
        </w:pBdr>
        <w:ind w:firstLine="561"/>
        <w:rPr>
          <w:color w:val="000000"/>
        </w:rPr>
      </w:pPr>
      <w:r w:rsidRPr="009B5615">
        <w:rPr>
          <w:color w:val="000000"/>
        </w:rPr>
        <w:t>(</w:t>
      </w:r>
      <w:r w:rsidR="00172DDE" w:rsidRPr="009B5615">
        <w:rPr>
          <w:color w:val="000000"/>
        </w:rPr>
        <w:t xml:space="preserve">dále jen jako </w:t>
      </w:r>
      <w:r w:rsidRPr="009B5615">
        <w:rPr>
          <w:color w:val="000000"/>
        </w:rPr>
        <w:t>„</w:t>
      </w:r>
      <w:proofErr w:type="spellStart"/>
      <w:r w:rsidR="00C9116A" w:rsidRPr="009B5615">
        <w:rPr>
          <w:b/>
          <w:color w:val="000000"/>
        </w:rPr>
        <w:t>Janssen-Cilag</w:t>
      </w:r>
      <w:proofErr w:type="spellEnd"/>
      <w:r w:rsidRPr="009B5615">
        <w:rPr>
          <w:color w:val="000000"/>
        </w:rPr>
        <w:t>“)</w:t>
      </w:r>
    </w:p>
    <w:p w14:paraId="59CF84BC" w14:textId="7113B407" w:rsidR="00702160" w:rsidRPr="009B5615" w:rsidRDefault="0066558C" w:rsidP="002D7BBF">
      <w:pPr>
        <w:pStyle w:val="Smluvstranya"/>
        <w:jc w:val="both"/>
      </w:pPr>
      <w:r w:rsidRPr="009B5615">
        <w:t>a</w:t>
      </w:r>
    </w:p>
    <w:p w14:paraId="27ADA6CD" w14:textId="4736DEC5" w:rsidR="00F10574" w:rsidRPr="009B5615" w:rsidRDefault="007310EA" w:rsidP="002B7095">
      <w:pPr>
        <w:numPr>
          <w:ilvl w:val="0"/>
          <w:numId w:val="1"/>
        </w:numPr>
      </w:pPr>
      <w:r>
        <w:rPr>
          <w:b/>
        </w:rPr>
        <w:t> Fakultní nemocnice Brno</w:t>
      </w:r>
    </w:p>
    <w:p w14:paraId="35851C44" w14:textId="6CF4E3AC" w:rsidR="007310EA" w:rsidRPr="007310EA" w:rsidRDefault="003A02A8" w:rsidP="007310EA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9B5615">
        <w:rPr>
          <w:color w:val="000000"/>
        </w:rPr>
        <w:t>se sídlem</w:t>
      </w:r>
      <w:r w:rsidR="002B7095" w:rsidRPr="009B5615">
        <w:rPr>
          <w:color w:val="000000"/>
        </w:rPr>
        <w:t>:</w:t>
      </w:r>
      <w:r w:rsidRPr="009B5615">
        <w:rPr>
          <w:color w:val="000000"/>
        </w:rPr>
        <w:t xml:space="preserve"> </w:t>
      </w:r>
      <w:r w:rsidR="007310EA">
        <w:rPr>
          <w:color w:val="000000"/>
        </w:rPr>
        <w:t>J</w:t>
      </w:r>
      <w:r w:rsidR="007310EA" w:rsidRPr="007310EA">
        <w:rPr>
          <w:color w:val="000000"/>
        </w:rPr>
        <w:t>ihlavská 20, 625 00 Brno, Česká republika</w:t>
      </w:r>
    </w:p>
    <w:p w14:paraId="4E9A259C" w14:textId="602E76B4" w:rsidR="007310EA" w:rsidRPr="007310EA" w:rsidRDefault="007310EA" w:rsidP="007310EA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7310EA">
        <w:rPr>
          <w:color w:val="000000"/>
        </w:rPr>
        <w:t>IČ</w:t>
      </w:r>
      <w:r w:rsidR="00BE0459">
        <w:rPr>
          <w:color w:val="000000"/>
        </w:rPr>
        <w:t>O</w:t>
      </w:r>
      <w:r w:rsidRPr="007310EA">
        <w:rPr>
          <w:color w:val="000000"/>
        </w:rPr>
        <w:t>: 652</w:t>
      </w:r>
      <w:r w:rsidR="00BE0459">
        <w:rPr>
          <w:color w:val="000000"/>
        </w:rPr>
        <w:t xml:space="preserve"> </w:t>
      </w:r>
      <w:r w:rsidRPr="007310EA">
        <w:rPr>
          <w:color w:val="000000"/>
        </w:rPr>
        <w:t>69</w:t>
      </w:r>
      <w:r w:rsidR="00BE0459">
        <w:rPr>
          <w:color w:val="000000"/>
        </w:rPr>
        <w:t xml:space="preserve"> </w:t>
      </w:r>
      <w:r w:rsidRPr="007310EA">
        <w:rPr>
          <w:color w:val="000000"/>
        </w:rPr>
        <w:t xml:space="preserve">705 </w:t>
      </w:r>
    </w:p>
    <w:p w14:paraId="0AA1A166" w14:textId="77777777" w:rsidR="007310EA" w:rsidRPr="007310EA" w:rsidRDefault="007310EA" w:rsidP="007310EA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7310EA">
        <w:rPr>
          <w:color w:val="000000"/>
        </w:rPr>
        <w:t>DIČ: CZ65269705</w:t>
      </w:r>
    </w:p>
    <w:p w14:paraId="75B983B8" w14:textId="77777777" w:rsidR="007310EA" w:rsidRPr="007310EA" w:rsidRDefault="007310EA" w:rsidP="007310EA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color w:val="000000"/>
        </w:rPr>
      </w:pPr>
      <w:r w:rsidRPr="007310EA">
        <w:rPr>
          <w:color w:val="000000"/>
        </w:rPr>
        <w:t>zastoupena: MUDr. Ivem Rovným, MBA, ředitelem</w:t>
      </w:r>
    </w:p>
    <w:p w14:paraId="68FF167D" w14:textId="77777777" w:rsidR="007310EA" w:rsidRPr="007310EA" w:rsidRDefault="007310EA" w:rsidP="007310EA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ind w:left="561"/>
        <w:rPr>
          <w:b/>
          <w:color w:val="000000"/>
        </w:rPr>
      </w:pPr>
    </w:p>
    <w:p w14:paraId="4BE4C7A9" w14:textId="355439CB" w:rsidR="00F10574" w:rsidRPr="009B5615" w:rsidRDefault="0066558C" w:rsidP="002B7095">
      <w:pPr>
        <w:keepNext/>
        <w:pBdr>
          <w:top w:val="nil"/>
          <w:left w:val="nil"/>
          <w:bottom w:val="nil"/>
          <w:right w:val="nil"/>
          <w:between w:val="nil"/>
        </w:pBdr>
        <w:ind w:firstLine="561"/>
        <w:rPr>
          <w:bCs/>
          <w:color w:val="000000"/>
        </w:rPr>
      </w:pPr>
      <w:r w:rsidRPr="009B5615">
        <w:rPr>
          <w:bCs/>
          <w:color w:val="000000"/>
        </w:rPr>
        <w:t>(</w:t>
      </w:r>
      <w:r w:rsidR="00172DDE" w:rsidRPr="009B5615">
        <w:rPr>
          <w:bCs/>
          <w:color w:val="000000"/>
        </w:rPr>
        <w:t xml:space="preserve">dále jen jako </w:t>
      </w:r>
      <w:r w:rsidRPr="009B5615">
        <w:rPr>
          <w:bCs/>
          <w:color w:val="000000"/>
        </w:rPr>
        <w:t>„</w:t>
      </w:r>
      <w:r w:rsidR="00F32D38" w:rsidRPr="009B5615">
        <w:rPr>
          <w:b/>
          <w:color w:val="000000"/>
        </w:rPr>
        <w:t>Nemocnice</w:t>
      </w:r>
      <w:r w:rsidRPr="009B5615">
        <w:rPr>
          <w:bCs/>
          <w:color w:val="000000"/>
        </w:rPr>
        <w:t>“)</w:t>
      </w:r>
    </w:p>
    <w:p w14:paraId="22CC7949" w14:textId="33D48F00" w:rsidR="00F10574" w:rsidRPr="009B5615" w:rsidRDefault="00172DDE" w:rsidP="002B7095">
      <w:pPr>
        <w:keepNext/>
        <w:pBdr>
          <w:top w:val="nil"/>
          <w:left w:val="nil"/>
          <w:bottom w:val="nil"/>
          <w:right w:val="nil"/>
          <w:between w:val="nil"/>
        </w:pBdr>
        <w:ind w:left="561"/>
        <w:rPr>
          <w:color w:val="000000"/>
        </w:rPr>
      </w:pPr>
      <w:r w:rsidRPr="009B5615">
        <w:rPr>
          <w:color w:val="000000"/>
        </w:rPr>
        <w:t>(každý jednotlivě dále označován také jako „</w:t>
      </w:r>
      <w:r w:rsidRPr="009B5615">
        <w:rPr>
          <w:b/>
          <w:bCs/>
          <w:color w:val="000000"/>
        </w:rPr>
        <w:t>Strana</w:t>
      </w:r>
      <w:r w:rsidRPr="009B5615">
        <w:rPr>
          <w:color w:val="000000"/>
        </w:rPr>
        <w:t>“ nebo společně jako „</w:t>
      </w:r>
      <w:r w:rsidRPr="009B5615">
        <w:rPr>
          <w:b/>
          <w:bCs/>
          <w:color w:val="000000"/>
        </w:rPr>
        <w:t>Strany</w:t>
      </w:r>
      <w:r w:rsidRPr="009B5615">
        <w:rPr>
          <w:color w:val="000000"/>
        </w:rPr>
        <w:t>“)</w:t>
      </w:r>
    </w:p>
    <w:p w14:paraId="08DD2505" w14:textId="3D3C49B6" w:rsidR="0039190E" w:rsidRPr="009B5615" w:rsidRDefault="0039190E" w:rsidP="002B7095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b/>
          <w:smallCaps/>
          <w:color w:val="000000"/>
        </w:rPr>
      </w:pPr>
      <w:r w:rsidRPr="009B5615">
        <w:rPr>
          <w:b/>
          <w:smallCaps/>
          <w:color w:val="000000"/>
        </w:rPr>
        <w:t>Preambule</w:t>
      </w:r>
    </w:p>
    <w:p w14:paraId="4CE4A974" w14:textId="3380854B" w:rsidR="0039190E" w:rsidRPr="009B5615" w:rsidRDefault="0039190E" w:rsidP="002B7095">
      <w:pPr>
        <w:pStyle w:val="Odstavecseseznamem"/>
        <w:numPr>
          <w:ilvl w:val="0"/>
          <w:numId w:val="3"/>
        </w:numPr>
        <w:ind w:left="567" w:hanging="567"/>
        <w:contextualSpacing w:val="0"/>
      </w:pPr>
      <w:r w:rsidRPr="009B5615">
        <w:t xml:space="preserve">Strany uzavřely dne </w:t>
      </w:r>
      <w:r w:rsidR="00BE0459">
        <w:t>29</w:t>
      </w:r>
      <w:r w:rsidRPr="009B5615">
        <w:t xml:space="preserve">. </w:t>
      </w:r>
      <w:r w:rsidR="0062097D">
        <w:t>1</w:t>
      </w:r>
      <w:r w:rsidR="00BE0459">
        <w:t>1</w:t>
      </w:r>
      <w:r w:rsidR="002B7095" w:rsidRPr="009B5615">
        <w:t>.</w:t>
      </w:r>
      <w:r w:rsidRPr="009B5615">
        <w:t xml:space="preserve"> 202</w:t>
      </w:r>
      <w:r w:rsidR="00BE0459">
        <w:t>3</w:t>
      </w:r>
      <w:r w:rsidRPr="009B5615">
        <w:t xml:space="preserve"> </w:t>
      </w:r>
      <w:r w:rsidR="00E27C84" w:rsidRPr="009B5615">
        <w:t>smlouvu o spolupráci po skončení klinického hodnocení</w:t>
      </w:r>
      <w:r w:rsidRPr="009B5615">
        <w:t xml:space="preserve"> („</w:t>
      </w:r>
      <w:r w:rsidRPr="009B5615">
        <w:rPr>
          <w:b/>
          <w:bCs/>
        </w:rPr>
        <w:t>Smlouva</w:t>
      </w:r>
      <w:r w:rsidRPr="009B5615">
        <w:t>“)</w:t>
      </w:r>
      <w:r w:rsidR="00503561">
        <w:t xml:space="preserve">, která řešila přechod pacientů z klinického hodnocení </w:t>
      </w:r>
      <w:r w:rsidR="007310EA" w:rsidRPr="007310EA">
        <w:rPr>
          <w:i/>
          <w:iCs/>
          <w:spacing w:val="-3"/>
          <w:sz w:val="20"/>
          <w:szCs w:val="20"/>
          <w:lang w:eastAsia="de-AT"/>
        </w:rPr>
        <w:t>54767414MMY2040</w:t>
      </w:r>
      <w:r w:rsidR="007310EA">
        <w:rPr>
          <w:i/>
          <w:iCs/>
          <w:spacing w:val="-3"/>
          <w:sz w:val="20"/>
          <w:szCs w:val="20"/>
          <w:lang w:eastAsia="de-AT"/>
        </w:rPr>
        <w:t xml:space="preserve">, </w:t>
      </w:r>
      <w:r w:rsidR="007310EA" w:rsidRPr="007310EA">
        <w:rPr>
          <w:i/>
          <w:iCs/>
          <w:spacing w:val="-3"/>
          <w:sz w:val="20"/>
          <w:szCs w:val="20"/>
          <w:lang w:eastAsia="de-AT"/>
        </w:rPr>
        <w:t>54767414MMY3004</w:t>
      </w:r>
      <w:r w:rsidR="007310EA">
        <w:rPr>
          <w:i/>
          <w:iCs/>
          <w:spacing w:val="-3"/>
          <w:sz w:val="20"/>
          <w:szCs w:val="20"/>
          <w:lang w:eastAsia="de-AT"/>
        </w:rPr>
        <w:t xml:space="preserve"> a </w:t>
      </w:r>
      <w:r w:rsidR="007310EA" w:rsidRPr="007310EA">
        <w:rPr>
          <w:i/>
          <w:iCs/>
          <w:spacing w:val="-3"/>
          <w:sz w:val="20"/>
          <w:szCs w:val="20"/>
          <w:lang w:eastAsia="de-AT"/>
        </w:rPr>
        <w:t>54767414MMY3007</w:t>
      </w:r>
      <w:r w:rsidR="00503561">
        <w:rPr>
          <w:spacing w:val="-3"/>
          <w:sz w:val="20"/>
          <w:szCs w:val="20"/>
          <w:lang w:eastAsia="de-AT"/>
        </w:rPr>
        <w:t xml:space="preserve"> </w:t>
      </w:r>
      <w:r w:rsidR="00503561" w:rsidRPr="00366699">
        <w:rPr>
          <w:spacing w:val="-3"/>
          <w:lang w:eastAsia="de-AT"/>
        </w:rPr>
        <w:t>do Post Trial Access programu</w:t>
      </w:r>
      <w:r w:rsidR="00503561">
        <w:rPr>
          <w:spacing w:val="-3"/>
          <w:sz w:val="20"/>
          <w:szCs w:val="20"/>
          <w:lang w:eastAsia="de-AT"/>
        </w:rPr>
        <w:t xml:space="preserve"> </w:t>
      </w:r>
      <w:r w:rsidR="007310EA" w:rsidRPr="007310EA">
        <w:rPr>
          <w:i/>
          <w:iCs/>
          <w:spacing w:val="-3"/>
          <w:sz w:val="20"/>
          <w:szCs w:val="20"/>
          <w:lang w:eastAsia="de-AT"/>
        </w:rPr>
        <w:t>54767414MMY4039</w:t>
      </w:r>
      <w:r w:rsidR="00E27C84" w:rsidRPr="009B5615">
        <w:t>.</w:t>
      </w:r>
    </w:p>
    <w:p w14:paraId="50DBB037" w14:textId="5ECE158A" w:rsidR="00034BB8" w:rsidRPr="009B5615" w:rsidRDefault="00702160" w:rsidP="003E467D">
      <w:pPr>
        <w:pStyle w:val="Odstavecseseznamem"/>
        <w:numPr>
          <w:ilvl w:val="0"/>
          <w:numId w:val="3"/>
        </w:numPr>
        <w:ind w:left="567" w:hanging="567"/>
        <w:contextualSpacing w:val="0"/>
      </w:pPr>
      <w:r w:rsidRPr="009B5615">
        <w:t>Strany se dohodly na níže uvedených změnách Smlouvy a z tohoto důvodu se rozhodly uzavřít tento Dodatek.</w:t>
      </w:r>
    </w:p>
    <w:p w14:paraId="6B259060" w14:textId="4C1AF73E" w:rsidR="00275F67" w:rsidRPr="009B5615" w:rsidRDefault="002665BB" w:rsidP="002B7095">
      <w:pPr>
        <w:pStyle w:val="Nadpis1"/>
        <w:numPr>
          <w:ilvl w:val="0"/>
          <w:numId w:val="2"/>
        </w:numPr>
      </w:pPr>
      <w:r w:rsidRPr="009B5615">
        <w:t xml:space="preserve">Předmět </w:t>
      </w:r>
      <w:r w:rsidR="00443385" w:rsidRPr="009B5615">
        <w:t>d</w:t>
      </w:r>
      <w:r w:rsidRPr="009B5615">
        <w:t>odatku</w:t>
      </w:r>
    </w:p>
    <w:p w14:paraId="694A153B" w14:textId="6835DB57" w:rsidR="00013F2A" w:rsidRPr="009B5615" w:rsidRDefault="00013F2A" w:rsidP="00013F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B5615">
        <w:t>V článku 2.1 Smlouvy se slova „</w:t>
      </w:r>
      <w:r w:rsidR="001B6BF0">
        <w:rPr>
          <w:i/>
          <w:iCs/>
        </w:rPr>
        <w:t xml:space="preserve">elektronický systému </w:t>
      </w:r>
      <w:proofErr w:type="spellStart"/>
      <w:r w:rsidRPr="009B5615">
        <w:rPr>
          <w:i/>
          <w:iCs/>
        </w:rPr>
        <w:t>MacWeb</w:t>
      </w:r>
      <w:proofErr w:type="spellEnd"/>
      <w:r w:rsidRPr="009B5615">
        <w:t>“</w:t>
      </w:r>
      <w:r w:rsidRPr="009B5615">
        <w:rPr>
          <w:color w:val="000000"/>
        </w:rPr>
        <w:t xml:space="preserve"> nahrazují slovy </w:t>
      </w:r>
      <w:r w:rsidRPr="009B5615">
        <w:t>„</w:t>
      </w:r>
      <w:r w:rsidRPr="009B5615">
        <w:rPr>
          <w:i/>
          <w:iCs/>
        </w:rPr>
        <w:t xml:space="preserve">elektronický systém </w:t>
      </w:r>
      <w:r w:rsidR="001B6BF0">
        <w:rPr>
          <w:i/>
          <w:iCs/>
        </w:rPr>
        <w:t>určený</w:t>
      </w:r>
      <w:r w:rsidRPr="009B5615">
        <w:rPr>
          <w:i/>
          <w:iCs/>
        </w:rPr>
        <w:t xml:space="preserve"> společností </w:t>
      </w:r>
      <w:proofErr w:type="spellStart"/>
      <w:r w:rsidRPr="009B5615">
        <w:rPr>
          <w:i/>
          <w:iCs/>
        </w:rPr>
        <w:t>Janssen-Cilag</w:t>
      </w:r>
      <w:proofErr w:type="spellEnd"/>
      <w:r w:rsidRPr="009B5615">
        <w:rPr>
          <w:color w:val="000000"/>
        </w:rPr>
        <w:t>“.</w:t>
      </w:r>
    </w:p>
    <w:p w14:paraId="034CC72B" w14:textId="612C4C96" w:rsidR="00034BB8" w:rsidRPr="00503561" w:rsidRDefault="009A002A" w:rsidP="00034B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03561">
        <w:t xml:space="preserve">V článku 7.2 </w:t>
      </w:r>
      <w:r w:rsidR="00013F2A" w:rsidRPr="00503561">
        <w:t xml:space="preserve">Smlouvy </w:t>
      </w:r>
      <w:r w:rsidRPr="00503561">
        <w:t>se slova „</w:t>
      </w:r>
      <w:r w:rsidRPr="00503561">
        <w:rPr>
          <w:i/>
          <w:iCs/>
          <w:color w:val="000000"/>
        </w:rPr>
        <w:t>k </w:t>
      </w:r>
      <w:r w:rsidR="00366699">
        <w:rPr>
          <w:i/>
          <w:iCs/>
          <w:color w:val="000000"/>
        </w:rPr>
        <w:t>3</w:t>
      </w:r>
      <w:r w:rsidR="007310EA">
        <w:rPr>
          <w:i/>
          <w:iCs/>
          <w:color w:val="000000"/>
        </w:rPr>
        <w:t>1</w:t>
      </w:r>
      <w:r w:rsidRPr="00503561">
        <w:rPr>
          <w:i/>
          <w:iCs/>
          <w:color w:val="000000"/>
        </w:rPr>
        <w:t xml:space="preserve">. </w:t>
      </w:r>
      <w:proofErr w:type="spellStart"/>
      <w:r w:rsidR="007310EA">
        <w:rPr>
          <w:i/>
          <w:iCs/>
          <w:color w:val="000000"/>
        </w:rPr>
        <w:t>kvěna</w:t>
      </w:r>
      <w:proofErr w:type="spellEnd"/>
      <w:r w:rsidR="007310EA" w:rsidRPr="00503561">
        <w:rPr>
          <w:i/>
          <w:iCs/>
          <w:color w:val="000000"/>
        </w:rPr>
        <w:t xml:space="preserve"> </w:t>
      </w:r>
      <w:r w:rsidRPr="00503561">
        <w:rPr>
          <w:i/>
          <w:iCs/>
          <w:color w:val="000000"/>
        </w:rPr>
        <w:t>202</w:t>
      </w:r>
      <w:r w:rsidR="007310EA">
        <w:rPr>
          <w:i/>
          <w:iCs/>
          <w:color w:val="000000"/>
        </w:rPr>
        <w:t>5</w:t>
      </w:r>
      <w:r w:rsidRPr="00503561">
        <w:rPr>
          <w:color w:val="000000"/>
        </w:rPr>
        <w:t xml:space="preserve">“ nahrazují slovy </w:t>
      </w:r>
      <w:r w:rsidRPr="00503561">
        <w:t>„</w:t>
      </w:r>
      <w:r w:rsidRPr="00503561">
        <w:rPr>
          <w:i/>
          <w:iCs/>
          <w:color w:val="000000"/>
        </w:rPr>
        <w:t>k </w:t>
      </w:r>
      <w:r w:rsidR="007310EA">
        <w:rPr>
          <w:i/>
          <w:iCs/>
          <w:color w:val="000000"/>
        </w:rPr>
        <w:t>31.</w:t>
      </w:r>
      <w:r w:rsidRPr="00503561">
        <w:rPr>
          <w:i/>
          <w:iCs/>
          <w:color w:val="000000"/>
        </w:rPr>
        <w:t xml:space="preserve"> </w:t>
      </w:r>
      <w:r w:rsidR="007310EA">
        <w:rPr>
          <w:i/>
          <w:iCs/>
          <w:color w:val="000000"/>
        </w:rPr>
        <w:t>květnu</w:t>
      </w:r>
      <w:r w:rsidR="007310EA" w:rsidRPr="00503561">
        <w:rPr>
          <w:i/>
          <w:iCs/>
          <w:color w:val="000000"/>
        </w:rPr>
        <w:t xml:space="preserve"> </w:t>
      </w:r>
      <w:r w:rsidRPr="00503561">
        <w:rPr>
          <w:i/>
          <w:iCs/>
          <w:color w:val="000000"/>
        </w:rPr>
        <w:t>202</w:t>
      </w:r>
      <w:r w:rsidR="007310EA">
        <w:rPr>
          <w:i/>
          <w:iCs/>
          <w:color w:val="000000"/>
        </w:rPr>
        <w:t>6</w:t>
      </w:r>
      <w:r w:rsidRPr="00503561">
        <w:rPr>
          <w:color w:val="000000"/>
        </w:rPr>
        <w:t>“.</w:t>
      </w:r>
    </w:p>
    <w:p w14:paraId="709C179B" w14:textId="05BEC24D" w:rsidR="009A002A" w:rsidRPr="00503561" w:rsidRDefault="009A002A" w:rsidP="00034B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03561">
        <w:rPr>
          <w:color w:val="000000"/>
        </w:rPr>
        <w:t xml:space="preserve">Do Smlouvy se vkládá nový článek </w:t>
      </w:r>
      <w:proofErr w:type="gramStart"/>
      <w:r w:rsidRPr="00503561">
        <w:rPr>
          <w:color w:val="000000"/>
        </w:rPr>
        <w:t>7.</w:t>
      </w:r>
      <w:r w:rsidR="00503561" w:rsidRPr="00503561">
        <w:rPr>
          <w:color w:val="000000"/>
        </w:rPr>
        <w:t>9</w:t>
      </w:r>
      <w:r w:rsidRPr="00503561">
        <w:rPr>
          <w:color w:val="000000"/>
        </w:rPr>
        <w:t xml:space="preserve"> který</w:t>
      </w:r>
      <w:proofErr w:type="gramEnd"/>
      <w:r w:rsidRPr="00503561">
        <w:rPr>
          <w:color w:val="000000"/>
        </w:rPr>
        <w:t xml:space="preserve"> zní následovně:</w:t>
      </w:r>
    </w:p>
    <w:p w14:paraId="0133EFFE" w14:textId="2E03DD17" w:rsidR="009A002A" w:rsidRPr="009B5615" w:rsidRDefault="009A002A" w:rsidP="009A002A">
      <w:pPr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</w:rPr>
      </w:pPr>
      <w:r w:rsidRPr="009B5615">
        <w:rPr>
          <w:color w:val="000000"/>
        </w:rPr>
        <w:t>„</w:t>
      </w:r>
      <w:r w:rsidRPr="009B5615">
        <w:rPr>
          <w:i/>
          <w:iCs/>
          <w:color w:val="000000"/>
        </w:rPr>
        <w:t xml:space="preserve">Nemocnice se zavazuje </w:t>
      </w:r>
      <w:r w:rsidR="001E3184" w:rsidRPr="009B5615">
        <w:rPr>
          <w:i/>
          <w:iCs/>
          <w:color w:val="000000"/>
        </w:rPr>
        <w:t>každoročně podávat</w:t>
      </w:r>
      <w:r w:rsidRPr="009B5615">
        <w:rPr>
          <w:i/>
          <w:iCs/>
          <w:color w:val="000000"/>
        </w:rPr>
        <w:t xml:space="preserve"> k příslušným zdravotním pojišťovnám návrhy na posouzení naplnění podmínek nároku Pacientů na úhradu další léčby Léčivým přípravkem na základě § 16 zákona č. 48/1997 Sb., o veřejném zdravotním pojištění, ve znění pozdějších předpisům, a to vždy nejpozději do 3</w:t>
      </w:r>
      <w:r w:rsidR="00366699">
        <w:rPr>
          <w:i/>
          <w:iCs/>
          <w:color w:val="000000"/>
        </w:rPr>
        <w:t>0</w:t>
      </w:r>
      <w:r w:rsidRPr="009B5615">
        <w:rPr>
          <w:i/>
          <w:iCs/>
          <w:color w:val="000000"/>
        </w:rPr>
        <w:t xml:space="preserve">. </w:t>
      </w:r>
      <w:r w:rsidR="00AC28A4">
        <w:rPr>
          <w:i/>
          <w:iCs/>
          <w:color w:val="000000"/>
        </w:rPr>
        <w:t>září</w:t>
      </w:r>
      <w:r w:rsidR="00AC28A4" w:rsidRPr="009B5615">
        <w:rPr>
          <w:i/>
          <w:iCs/>
          <w:color w:val="000000"/>
        </w:rPr>
        <w:t xml:space="preserve"> </w:t>
      </w:r>
      <w:r w:rsidRPr="009B5615">
        <w:rPr>
          <w:i/>
          <w:iCs/>
          <w:color w:val="000000"/>
        </w:rPr>
        <w:t>příslušného kalendářního roku.</w:t>
      </w:r>
      <w:r w:rsidRPr="009B5615">
        <w:rPr>
          <w:color w:val="000000"/>
        </w:rPr>
        <w:t>“</w:t>
      </w:r>
    </w:p>
    <w:p w14:paraId="0246DA78" w14:textId="2E01132A" w:rsidR="00F10574" w:rsidRPr="009B5615" w:rsidRDefault="003407B7" w:rsidP="00A57C7E">
      <w:pPr>
        <w:pStyle w:val="Nadpis1"/>
        <w:numPr>
          <w:ilvl w:val="0"/>
          <w:numId w:val="2"/>
        </w:numPr>
      </w:pPr>
      <w:r w:rsidRPr="009B5615">
        <w:t>Závěrečná ustanovení</w:t>
      </w:r>
    </w:p>
    <w:p w14:paraId="34881AED" w14:textId="4E5223A0" w:rsidR="00F10574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rPr>
          <w:color w:val="000000"/>
        </w:rPr>
        <w:t>Ostatní ustanovení Smlouvy se tímto Dodatkem nemění.</w:t>
      </w:r>
    </w:p>
    <w:p w14:paraId="1470903E" w14:textId="11564309" w:rsidR="00D10E00" w:rsidRPr="00D10E00" w:rsidRDefault="00D10E00" w:rsidP="00D10E00">
      <w:pPr>
        <w:pStyle w:val="Odstavecseseznamem"/>
        <w:numPr>
          <w:ilvl w:val="1"/>
          <w:numId w:val="2"/>
        </w:numPr>
        <w:rPr>
          <w:color w:val="000000"/>
        </w:rPr>
      </w:pPr>
      <w:r w:rsidRPr="00D10E00">
        <w:rPr>
          <w:color w:val="000000"/>
        </w:rPr>
        <w:t xml:space="preserve">Ustanovení Smlouvy o jejím uveřejnění v registru smluv dle zákona č. 340/2015 Sb., o zvláštních podmínkách účinnosti některých smluv, uveřejňování těchto smluv a o registru smluv (zákon o </w:t>
      </w:r>
      <w:r w:rsidRPr="00D10E00">
        <w:rPr>
          <w:color w:val="000000"/>
        </w:rPr>
        <w:lastRenderedPageBreak/>
        <w:t>registru smluv), ve znění pozdějších předpisů</w:t>
      </w:r>
      <w:r w:rsidR="004C77CC">
        <w:rPr>
          <w:color w:val="000000"/>
        </w:rPr>
        <w:t xml:space="preserve"> („</w:t>
      </w:r>
      <w:r w:rsidR="004C77CC">
        <w:rPr>
          <w:b/>
          <w:bCs/>
          <w:color w:val="000000"/>
        </w:rPr>
        <w:t>Zákon o registru smluv</w:t>
      </w:r>
      <w:r w:rsidR="004C77CC">
        <w:rPr>
          <w:color w:val="000000"/>
        </w:rPr>
        <w:t>“)</w:t>
      </w:r>
      <w:r w:rsidRPr="00D10E00">
        <w:rPr>
          <w:color w:val="000000"/>
        </w:rPr>
        <w:t xml:space="preserve">, se použijí na uveřejnění tohoto Dodatku v registru smluv </w:t>
      </w:r>
      <w:proofErr w:type="spellStart"/>
      <w:r w:rsidRPr="003E467D">
        <w:rPr>
          <w:i/>
          <w:iCs/>
          <w:color w:val="000000"/>
        </w:rPr>
        <w:t>mutatis</w:t>
      </w:r>
      <w:proofErr w:type="spellEnd"/>
      <w:r w:rsidRPr="003E467D">
        <w:rPr>
          <w:i/>
          <w:iCs/>
          <w:color w:val="000000"/>
        </w:rPr>
        <w:t xml:space="preserve"> </w:t>
      </w:r>
      <w:proofErr w:type="spellStart"/>
      <w:r w:rsidRPr="003E467D">
        <w:rPr>
          <w:i/>
          <w:iCs/>
          <w:color w:val="000000"/>
        </w:rPr>
        <w:t>mutandis</w:t>
      </w:r>
      <w:proofErr w:type="spellEnd"/>
      <w:r w:rsidRPr="00D10E00">
        <w:rPr>
          <w:color w:val="000000"/>
        </w:rPr>
        <w:t xml:space="preserve">. </w:t>
      </w:r>
    </w:p>
    <w:p w14:paraId="647DCEE3" w14:textId="2D78CDC8" w:rsidR="00F10574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t>Tento Dodatek nabývá platnosti dnem jeho podpisu oběma Stranami</w:t>
      </w:r>
      <w:r w:rsidR="00792DE8">
        <w:t xml:space="preserve"> a účinnosti dnem zveřejnění v registru smluv</w:t>
      </w:r>
      <w:r w:rsidR="007879A4">
        <w:t>.</w:t>
      </w:r>
      <w:r w:rsidR="008B7F22">
        <w:t xml:space="preserve"> </w:t>
      </w:r>
      <w:r w:rsidR="008B7F22" w:rsidRPr="0046105F">
        <w:t>Strany shodně prohlašují, že</w:t>
      </w:r>
      <w:r w:rsidR="00792DE8">
        <w:t xml:space="preserve"> </w:t>
      </w:r>
      <w:r w:rsidR="008B7F22" w:rsidRPr="0046105F">
        <w:t xml:space="preserve">se </w:t>
      </w:r>
      <w:r w:rsidR="00792DE8">
        <w:t>podmínkami</w:t>
      </w:r>
      <w:r w:rsidR="008B7F22" w:rsidRPr="0046105F">
        <w:t xml:space="preserve"> tohoto Dodatku </w:t>
      </w:r>
      <w:r w:rsidR="00792DE8">
        <w:t>na základě vzájemné dohody řídily již ode dne jeho dojednání a veškerá svá vzájemná plnění poskytnutá ode dne</w:t>
      </w:r>
      <w:r w:rsidR="008B7F22" w:rsidRPr="0046105F">
        <w:t xml:space="preserve"> 31</w:t>
      </w:r>
      <w:r w:rsidR="008B7F22">
        <w:t>.</w:t>
      </w:r>
      <w:r w:rsidR="00792DE8">
        <w:t xml:space="preserve"> </w:t>
      </w:r>
      <w:r w:rsidR="008B7F22">
        <w:t>5</w:t>
      </w:r>
      <w:r w:rsidR="008B7F22" w:rsidRPr="0046105F">
        <w:t>. 2025</w:t>
      </w:r>
      <w:r w:rsidR="00792DE8">
        <w:t xml:space="preserve"> do dne nabytí účinnosti </w:t>
      </w:r>
      <w:r w:rsidR="008B7F22" w:rsidRPr="0046105F">
        <w:t>tohoto Dodatku</w:t>
      </w:r>
      <w:r w:rsidR="00792DE8">
        <w:t xml:space="preserve"> považují za plnění poskytnutí podle tohoto Dodatku</w:t>
      </w:r>
      <w:r w:rsidR="008B7F22" w:rsidRPr="0046105F">
        <w:t>.</w:t>
      </w:r>
      <w:r w:rsidR="00792DE8">
        <w:t xml:space="preserve"> </w:t>
      </w:r>
    </w:p>
    <w:p w14:paraId="00653DC5" w14:textId="0221C355" w:rsidR="003407B7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t>Veškeré změny tohoto Dodatku je možné činit pouze písemnou formou.</w:t>
      </w:r>
    </w:p>
    <w:p w14:paraId="644F41E2" w14:textId="6F6FF734" w:rsidR="00443385" w:rsidRPr="009B5615" w:rsidRDefault="003407B7" w:rsidP="002B70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9B5615">
        <w:t>Tento Dodatek je vyhotoven ve dvou (2) identických stejnopisech. Každá Strana obdrží po</w:t>
      </w:r>
      <w:r w:rsidR="00443385" w:rsidRPr="009B5615">
        <w:t> </w:t>
      </w:r>
      <w:r w:rsidRPr="009B5615">
        <w:t>jednom (1) stejnopisu.</w:t>
      </w:r>
      <w:r w:rsidR="00455FA0" w:rsidRPr="009B5615">
        <w:t xml:space="preserve"> Je-li tento Dodatek podepisován elektronicky, každá ze Stran obdrží jeho shodné elektronicky podepsané vyhotovení.</w:t>
      </w:r>
    </w:p>
    <w:p w14:paraId="6526AF5D" w14:textId="58E375BD" w:rsidR="00F10574" w:rsidRPr="009B5615" w:rsidRDefault="003407B7" w:rsidP="002B7095">
      <w:pPr>
        <w:rPr>
          <w:b/>
        </w:rPr>
      </w:pPr>
      <w:bookmarkStart w:id="0" w:name="_30j0zll" w:colFirst="0" w:colLast="0"/>
      <w:bookmarkStart w:id="1" w:name="_2et92p0" w:colFirst="0" w:colLast="0"/>
      <w:bookmarkEnd w:id="0"/>
      <w:bookmarkEnd w:id="1"/>
      <w:r w:rsidRPr="009B5615">
        <w:rPr>
          <w:b/>
        </w:rPr>
        <w:t>Strany tímto výslovně prohlašují, že tento Dodatek vyjadřuje jejich pravou a svobodnou vůli, na důkaz čehož připojují níže své podpisy.</w:t>
      </w:r>
    </w:p>
    <w:tbl>
      <w:tblPr>
        <w:tblStyle w:val="a"/>
        <w:tblW w:w="5000" w:type="pct"/>
        <w:tblInd w:w="0" w:type="dxa"/>
        <w:tblLook w:val="0000" w:firstRow="0" w:lastRow="0" w:firstColumn="0" w:lastColumn="0" w:noHBand="0" w:noVBand="0"/>
      </w:tblPr>
      <w:tblGrid>
        <w:gridCol w:w="4520"/>
        <w:gridCol w:w="4551"/>
      </w:tblGrid>
      <w:tr w:rsidR="00F10574" w:rsidRPr="009B5615" w14:paraId="6A3821F7" w14:textId="77777777" w:rsidTr="000A517B">
        <w:tc>
          <w:tcPr>
            <w:tcW w:w="2491" w:type="pct"/>
          </w:tcPr>
          <w:p w14:paraId="5A3B279A" w14:textId="78100579" w:rsidR="00F10574" w:rsidRPr="009B5615" w:rsidRDefault="000108C2" w:rsidP="002B7095">
            <w:pPr>
              <w:spacing w:after="0"/>
              <w:rPr>
                <w:b/>
              </w:rPr>
            </w:pPr>
            <w:proofErr w:type="spellStart"/>
            <w:r w:rsidRPr="009B5615">
              <w:rPr>
                <w:b/>
              </w:rPr>
              <w:t>Janssen-Cilag</w:t>
            </w:r>
            <w:proofErr w:type="spellEnd"/>
            <w:r w:rsidRPr="009B5615">
              <w:rPr>
                <w:b/>
              </w:rPr>
              <w:t xml:space="preserve"> s.r.o.</w:t>
            </w:r>
          </w:p>
        </w:tc>
        <w:tc>
          <w:tcPr>
            <w:tcW w:w="2509" w:type="pct"/>
          </w:tcPr>
          <w:p w14:paraId="2A6B1CAF" w14:textId="6D975ACB" w:rsidR="00F10574" w:rsidRPr="009B5615" w:rsidRDefault="007310EA" w:rsidP="002B7095">
            <w:pPr>
              <w:spacing w:after="0"/>
              <w:rPr>
                <w:b/>
              </w:rPr>
            </w:pPr>
            <w:r>
              <w:rPr>
                <w:b/>
              </w:rPr>
              <w:t> Fakultní nemocnice Brno</w:t>
            </w:r>
          </w:p>
        </w:tc>
      </w:tr>
      <w:tr w:rsidR="00F10574" w:rsidRPr="009B5615" w14:paraId="610FCBE8" w14:textId="77777777" w:rsidTr="000A517B">
        <w:tc>
          <w:tcPr>
            <w:tcW w:w="2491" w:type="pct"/>
          </w:tcPr>
          <w:p w14:paraId="5ACD0A12" w14:textId="2F0EFCEC" w:rsidR="00F10574" w:rsidRPr="009B5615" w:rsidRDefault="0066558C" w:rsidP="002B7095">
            <w:r w:rsidRPr="009B5615">
              <w:t xml:space="preserve">Datum: </w:t>
            </w:r>
            <w:r w:rsidR="00F534E6" w:rsidRPr="009B5615">
              <w:rPr>
                <w:bCs/>
              </w:rPr>
              <w:t>____________________</w:t>
            </w:r>
          </w:p>
        </w:tc>
        <w:tc>
          <w:tcPr>
            <w:tcW w:w="2509" w:type="pct"/>
          </w:tcPr>
          <w:p w14:paraId="5F191A38" w14:textId="7336DCAB" w:rsidR="00F10574" w:rsidRPr="009B5615" w:rsidRDefault="0066558C" w:rsidP="002B7095">
            <w:pPr>
              <w:rPr>
                <w:b/>
              </w:rPr>
            </w:pPr>
            <w:r w:rsidRPr="009B5615">
              <w:t xml:space="preserve">Datum: </w:t>
            </w:r>
            <w:r w:rsidR="00F534E6" w:rsidRPr="009B5615">
              <w:rPr>
                <w:bCs/>
              </w:rPr>
              <w:t>____________________</w:t>
            </w:r>
          </w:p>
        </w:tc>
      </w:tr>
      <w:tr w:rsidR="00F10574" w:rsidRPr="009B5615" w14:paraId="110347E7" w14:textId="77777777" w:rsidTr="000A517B">
        <w:tc>
          <w:tcPr>
            <w:tcW w:w="2491" w:type="pct"/>
          </w:tcPr>
          <w:p w14:paraId="360E5CE5" w14:textId="77777777" w:rsidR="00F10574" w:rsidRPr="009B5615" w:rsidRDefault="00F10574" w:rsidP="002B7095"/>
          <w:p w14:paraId="49688024" w14:textId="77777777" w:rsidR="00900617" w:rsidRPr="009B5615" w:rsidRDefault="00900617" w:rsidP="002B7095"/>
          <w:p w14:paraId="600EA052" w14:textId="77777777" w:rsidR="00F10574" w:rsidRPr="009B5615" w:rsidRDefault="0066558C" w:rsidP="002B7095">
            <w:r w:rsidRPr="009B5615">
              <w:t>_______________________________________</w:t>
            </w:r>
          </w:p>
        </w:tc>
        <w:tc>
          <w:tcPr>
            <w:tcW w:w="2509" w:type="pct"/>
          </w:tcPr>
          <w:p w14:paraId="2C294F8B" w14:textId="77777777" w:rsidR="00F10574" w:rsidRPr="009B5615" w:rsidRDefault="00F10574" w:rsidP="002B7095"/>
          <w:p w14:paraId="710F5DD7" w14:textId="77777777" w:rsidR="00900617" w:rsidRPr="009B5615" w:rsidRDefault="00900617" w:rsidP="002B7095"/>
          <w:p w14:paraId="47DD5499" w14:textId="77777777" w:rsidR="00F10574" w:rsidRPr="009B5615" w:rsidRDefault="0066558C" w:rsidP="002B7095">
            <w:r w:rsidRPr="009B5615">
              <w:t>_______________________________________</w:t>
            </w:r>
          </w:p>
        </w:tc>
      </w:tr>
      <w:tr w:rsidR="00F10574" w:rsidRPr="009B5615" w14:paraId="6D6DCF62" w14:textId="77777777" w:rsidTr="000A517B">
        <w:tc>
          <w:tcPr>
            <w:tcW w:w="2491" w:type="pct"/>
          </w:tcPr>
          <w:p w14:paraId="45EA25FC" w14:textId="3C7913C2" w:rsidR="00F10574" w:rsidRPr="009B5615" w:rsidRDefault="0066558C" w:rsidP="002B7095">
            <w:r w:rsidRPr="009B5615">
              <w:t>Jméno:</w:t>
            </w:r>
            <w:r w:rsidR="00874D61" w:rsidRPr="009B5615">
              <w:t xml:space="preserve"> </w:t>
            </w:r>
            <w:proofErr w:type="spellStart"/>
            <w:r w:rsidR="00874D61" w:rsidRPr="009B5615">
              <w:t>Pygmalion</w:t>
            </w:r>
            <w:proofErr w:type="spellEnd"/>
            <w:r w:rsidR="00874D61" w:rsidRPr="009B5615">
              <w:t xml:space="preserve"> </w:t>
            </w:r>
            <w:proofErr w:type="spellStart"/>
            <w:r w:rsidR="00874D61" w:rsidRPr="009B5615">
              <w:t>Anastasopoulos</w:t>
            </w:r>
            <w:proofErr w:type="spellEnd"/>
          </w:p>
          <w:p w14:paraId="42C00FCF" w14:textId="1999B598" w:rsidR="00CF6F0C" w:rsidRPr="009B5615" w:rsidRDefault="0066558C" w:rsidP="002B7095">
            <w:r w:rsidRPr="009B5615">
              <w:t xml:space="preserve">Funkce: </w:t>
            </w:r>
            <w:r w:rsidR="000A7072" w:rsidRPr="009B5615">
              <w:t>jednatel</w:t>
            </w:r>
          </w:p>
        </w:tc>
        <w:tc>
          <w:tcPr>
            <w:tcW w:w="2509" w:type="pct"/>
          </w:tcPr>
          <w:p w14:paraId="6355CB86" w14:textId="71E5470F" w:rsidR="00F10574" w:rsidRPr="009B5615" w:rsidRDefault="0066558C" w:rsidP="002B7095">
            <w:r w:rsidRPr="009B5615">
              <w:t xml:space="preserve">Jméno: </w:t>
            </w:r>
            <w:r w:rsidR="00883BF9" w:rsidRPr="007310EA">
              <w:rPr>
                <w:color w:val="000000"/>
              </w:rPr>
              <w:t>MUDr. Iv</w:t>
            </w:r>
            <w:r w:rsidR="00883BF9">
              <w:rPr>
                <w:color w:val="000000"/>
              </w:rPr>
              <w:t>o</w:t>
            </w:r>
            <w:r w:rsidR="00883BF9" w:rsidRPr="007310EA">
              <w:rPr>
                <w:color w:val="000000"/>
              </w:rPr>
              <w:t xml:space="preserve"> Rovný, MBA,</w:t>
            </w:r>
            <w:r w:rsidR="00883BF9" w:rsidRPr="009B5615" w:rsidDel="00883BF9">
              <w:t xml:space="preserve"> </w:t>
            </w:r>
            <w:r w:rsidRPr="009B5615">
              <w:t xml:space="preserve">Funkce: </w:t>
            </w:r>
            <w:r w:rsidR="00BC1462" w:rsidRPr="009B5615">
              <w:t>ředitel</w:t>
            </w:r>
          </w:p>
        </w:tc>
      </w:tr>
    </w:tbl>
    <w:p w14:paraId="24971666" w14:textId="72631F8F" w:rsidR="00F10574" w:rsidRDefault="00F10574" w:rsidP="00A57C7E"/>
    <w:p w14:paraId="331580A8" w14:textId="77777777" w:rsidR="008E0D6B" w:rsidRDefault="008E6046" w:rsidP="008E6046">
      <w:pPr>
        <w:shd w:val="clear" w:color="auto" w:fill="FFFFFF" w:themeFill="background1"/>
        <w:spacing w:after="0"/>
      </w:pPr>
      <w:r>
        <w:t xml:space="preserve">  </w:t>
      </w:r>
    </w:p>
    <w:p w14:paraId="300C1193" w14:textId="37AE0540" w:rsidR="008E0D6B" w:rsidRDefault="008E0D6B" w:rsidP="008E6046">
      <w:pPr>
        <w:shd w:val="clear" w:color="auto" w:fill="FFFFFF" w:themeFill="background1"/>
        <w:spacing w:after="0"/>
      </w:pPr>
      <w:r>
        <w:t>------------------------------------------</w:t>
      </w:r>
    </w:p>
    <w:p w14:paraId="720AD028" w14:textId="740DA087" w:rsidR="008E6046" w:rsidRPr="00EC55B7" w:rsidRDefault="00EC55B7" w:rsidP="00EC55B7">
      <w:pPr>
        <w:rPr>
          <w:color w:val="000000"/>
        </w:rPr>
      </w:pPr>
      <w:proofErr w:type="spellStart"/>
      <w:r>
        <w:rPr>
          <w:color w:val="000000"/>
        </w:rPr>
        <w:t>xxxxx</w:t>
      </w:r>
      <w:bookmarkStart w:id="2" w:name="_GoBack"/>
      <w:bookmarkEnd w:id="2"/>
      <w:proofErr w:type="spellEnd"/>
    </w:p>
    <w:p w14:paraId="23E088BE" w14:textId="77777777" w:rsidR="008E6046" w:rsidRPr="00B75C16" w:rsidRDefault="008E6046" w:rsidP="008E6046">
      <w:pPr>
        <w:shd w:val="clear" w:color="auto" w:fill="FFFFFF" w:themeFill="background1"/>
        <w:spacing w:after="0"/>
        <w:rPr>
          <w:sz w:val="20"/>
          <w:szCs w:val="20"/>
          <w:lang w:eastAsia="de-AT"/>
        </w:rPr>
      </w:pPr>
    </w:p>
    <w:p w14:paraId="77EA9E63" w14:textId="77777777" w:rsidR="008E6046" w:rsidRPr="00B75C16" w:rsidRDefault="008E6046" w:rsidP="008E6046">
      <w:pPr>
        <w:shd w:val="clear" w:color="auto" w:fill="FFFFFF" w:themeFill="background1"/>
        <w:spacing w:after="0"/>
        <w:rPr>
          <w:sz w:val="20"/>
          <w:szCs w:val="20"/>
          <w:lang w:eastAsia="de-AT"/>
        </w:rPr>
      </w:pPr>
    </w:p>
    <w:p w14:paraId="56883E46" w14:textId="54743F17" w:rsidR="008E6046" w:rsidRPr="009B5615" w:rsidRDefault="008E6046" w:rsidP="00A57C7E"/>
    <w:sectPr w:rsidR="008E6046" w:rsidRPr="009B5615" w:rsidSect="006E0213">
      <w:headerReference w:type="default" r:id="rId8"/>
      <w:footerReference w:type="default" r:id="rId9"/>
      <w:pgSz w:w="11907" w:h="16840"/>
      <w:pgMar w:top="1418" w:right="1418" w:bottom="1418" w:left="1418" w:header="720" w:footer="5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CAB00" w14:textId="77777777" w:rsidR="001A10F6" w:rsidRDefault="001A10F6">
      <w:pPr>
        <w:spacing w:before="0" w:after="0"/>
      </w:pPr>
      <w:r>
        <w:separator/>
      </w:r>
    </w:p>
  </w:endnote>
  <w:endnote w:type="continuationSeparator" w:id="0">
    <w:p w14:paraId="667843EB" w14:textId="77777777" w:rsidR="001A10F6" w:rsidRDefault="001A10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0DAA9" w14:textId="77777777" w:rsidR="00F10574" w:rsidRDefault="0066558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right"/>
      <w:rPr>
        <w:rFonts w:ascii="Arial" w:eastAsia="Arial" w:hAnsi="Arial" w:cs="Arial"/>
        <w:b/>
        <w:color w:val="000000"/>
        <w:sz w:val="15"/>
        <w:szCs w:val="15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PAGE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EC55B7">
      <w:rPr>
        <w:rFonts w:ascii="Arial" w:eastAsia="Arial" w:hAnsi="Arial" w:cs="Arial"/>
        <w:b/>
        <w:noProof/>
        <w:color w:val="000000"/>
        <w:sz w:val="15"/>
        <w:szCs w:val="15"/>
      </w:rPr>
      <w:t>2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  <w:r>
      <w:rPr>
        <w:rFonts w:ascii="Arial" w:eastAsia="Arial" w:hAnsi="Arial" w:cs="Arial"/>
        <w:b/>
        <w:color w:val="000000"/>
        <w:sz w:val="15"/>
        <w:szCs w:val="15"/>
      </w:rPr>
      <w:t xml:space="preserve"> / </w:t>
    </w:r>
    <w:r>
      <w:rPr>
        <w:rFonts w:ascii="Arial" w:eastAsia="Arial" w:hAnsi="Arial" w:cs="Arial"/>
        <w:b/>
        <w:color w:val="000000"/>
        <w:sz w:val="15"/>
        <w:szCs w:val="15"/>
      </w:rPr>
      <w:fldChar w:fldCharType="begin"/>
    </w:r>
    <w:r>
      <w:rPr>
        <w:rFonts w:ascii="Arial" w:eastAsia="Arial" w:hAnsi="Arial" w:cs="Arial"/>
        <w:b/>
        <w:color w:val="000000"/>
        <w:sz w:val="15"/>
        <w:szCs w:val="15"/>
      </w:rPr>
      <w:instrText>NUMPAGES</w:instrText>
    </w:r>
    <w:r>
      <w:rPr>
        <w:rFonts w:ascii="Arial" w:eastAsia="Arial" w:hAnsi="Arial" w:cs="Arial"/>
        <w:b/>
        <w:color w:val="000000"/>
        <w:sz w:val="15"/>
        <w:szCs w:val="15"/>
      </w:rPr>
      <w:fldChar w:fldCharType="separate"/>
    </w:r>
    <w:r w:rsidR="00EC55B7">
      <w:rPr>
        <w:rFonts w:ascii="Arial" w:eastAsia="Arial" w:hAnsi="Arial" w:cs="Arial"/>
        <w:b/>
        <w:noProof/>
        <w:color w:val="000000"/>
        <w:sz w:val="15"/>
        <w:szCs w:val="15"/>
      </w:rPr>
      <w:t>2</w:t>
    </w:r>
    <w:r>
      <w:rPr>
        <w:rFonts w:ascii="Arial" w:eastAsia="Arial" w:hAnsi="Arial" w:cs="Arial"/>
        <w:b/>
        <w:color w:val="000000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D04B5" w14:textId="77777777" w:rsidR="001A10F6" w:rsidRDefault="001A10F6">
      <w:pPr>
        <w:spacing w:before="0" w:after="0"/>
      </w:pPr>
      <w:r>
        <w:separator/>
      </w:r>
    </w:p>
  </w:footnote>
  <w:footnote w:type="continuationSeparator" w:id="0">
    <w:p w14:paraId="3F5881C8" w14:textId="77777777" w:rsidR="001A10F6" w:rsidRDefault="001A10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B0649" w14:textId="0F16675B" w:rsidR="009E5531" w:rsidRDefault="009E5531" w:rsidP="009E5531">
    <w:pPr>
      <w:pStyle w:val="Zhlav"/>
    </w:pPr>
    <w:r>
      <w:t xml:space="preserve">                                                                                                                                  </w:t>
    </w:r>
    <w:r w:rsidR="007D5EC4">
      <w:t>PO</w:t>
    </w:r>
    <w:r>
      <w:t xml:space="preserve">                                                                                                                                                 </w:t>
    </w:r>
  </w:p>
  <w:p w14:paraId="0ABE9E8A" w14:textId="0F9D062E" w:rsidR="009E5531" w:rsidRPr="009E5531" w:rsidRDefault="009E5531" w:rsidP="009E553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2D96"/>
    <w:multiLevelType w:val="hybridMultilevel"/>
    <w:tmpl w:val="80E2EB6C"/>
    <w:lvl w:ilvl="0" w:tplc="F076693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F4650"/>
    <w:multiLevelType w:val="multilevel"/>
    <w:tmpl w:val="67F47B88"/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E1625"/>
    <w:multiLevelType w:val="hybridMultilevel"/>
    <w:tmpl w:val="A07E6980"/>
    <w:lvl w:ilvl="0" w:tplc="19C4C0B0">
      <w:start w:val="1"/>
      <w:numFmt w:val="decimal"/>
      <w:lvlText w:val="%1.1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EF4071"/>
    <w:multiLevelType w:val="hybridMultilevel"/>
    <w:tmpl w:val="0E1E0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A107C"/>
    <w:multiLevelType w:val="multilevel"/>
    <w:tmpl w:val="26A04B54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" w:eastAsia="Times" w:hAnsi="Times" w:cs="Times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992" w:hanging="425"/>
      </w:pPr>
    </w:lvl>
    <w:lvl w:ilvl="3">
      <w:start w:val="1"/>
      <w:numFmt w:val="lowerRoman"/>
      <w:lvlText w:val="(%4)"/>
      <w:lvlJc w:val="left"/>
      <w:pPr>
        <w:ind w:left="1418" w:hanging="425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475547E5"/>
    <w:multiLevelType w:val="hybridMultilevel"/>
    <w:tmpl w:val="89121C84"/>
    <w:lvl w:ilvl="0" w:tplc="56D6E80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462485"/>
    <w:multiLevelType w:val="hybridMultilevel"/>
    <w:tmpl w:val="E07811E8"/>
    <w:lvl w:ilvl="0" w:tplc="6540E112">
      <w:start w:val="1"/>
      <w:numFmt w:val="lowerRoman"/>
      <w:lvlText w:val="(%1)"/>
      <w:lvlJc w:val="left"/>
      <w:pPr>
        <w:ind w:left="1428" w:hanging="720"/>
      </w:pPr>
      <w:rPr>
        <w:rFonts w:ascii="Times New Roman" w:eastAsia="Times New Roman" w:hAnsi="Times New Roman"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74"/>
    <w:rsid w:val="000108C2"/>
    <w:rsid w:val="00013F2A"/>
    <w:rsid w:val="00034BB8"/>
    <w:rsid w:val="00035E56"/>
    <w:rsid w:val="00044737"/>
    <w:rsid w:val="000453B1"/>
    <w:rsid w:val="000610BD"/>
    <w:rsid w:val="0007365B"/>
    <w:rsid w:val="000A05D4"/>
    <w:rsid w:val="000A517B"/>
    <w:rsid w:val="000A7072"/>
    <w:rsid w:val="000B0DE3"/>
    <w:rsid w:val="000B280A"/>
    <w:rsid w:val="000C087F"/>
    <w:rsid w:val="000D0789"/>
    <w:rsid w:val="000F3046"/>
    <w:rsid w:val="000F3E40"/>
    <w:rsid w:val="00103ED3"/>
    <w:rsid w:val="00110239"/>
    <w:rsid w:val="00131CDF"/>
    <w:rsid w:val="00172DDE"/>
    <w:rsid w:val="001757B1"/>
    <w:rsid w:val="00190C68"/>
    <w:rsid w:val="001A10F6"/>
    <w:rsid w:val="001B6BF0"/>
    <w:rsid w:val="001D1E46"/>
    <w:rsid w:val="001E27C6"/>
    <w:rsid w:val="001E3184"/>
    <w:rsid w:val="001E48DC"/>
    <w:rsid w:val="001E60DF"/>
    <w:rsid w:val="001F2F0A"/>
    <w:rsid w:val="002038C1"/>
    <w:rsid w:val="00210E8B"/>
    <w:rsid w:val="00214D84"/>
    <w:rsid w:val="00225D10"/>
    <w:rsid w:val="00250604"/>
    <w:rsid w:val="00250EA3"/>
    <w:rsid w:val="0025416B"/>
    <w:rsid w:val="00263197"/>
    <w:rsid w:val="002665BB"/>
    <w:rsid w:val="00275F67"/>
    <w:rsid w:val="002B7095"/>
    <w:rsid w:val="002D095A"/>
    <w:rsid w:val="002D33C7"/>
    <w:rsid w:val="002D7BBF"/>
    <w:rsid w:val="002E0524"/>
    <w:rsid w:val="00303100"/>
    <w:rsid w:val="00315688"/>
    <w:rsid w:val="003407B7"/>
    <w:rsid w:val="0034566F"/>
    <w:rsid w:val="00346568"/>
    <w:rsid w:val="00360C31"/>
    <w:rsid w:val="00366699"/>
    <w:rsid w:val="003907BA"/>
    <w:rsid w:val="0039190E"/>
    <w:rsid w:val="003A02A8"/>
    <w:rsid w:val="003A651B"/>
    <w:rsid w:val="003B5B34"/>
    <w:rsid w:val="003C2C8B"/>
    <w:rsid w:val="003E467D"/>
    <w:rsid w:val="003E4E0A"/>
    <w:rsid w:val="003F3DD9"/>
    <w:rsid w:val="0040472E"/>
    <w:rsid w:val="004162FD"/>
    <w:rsid w:val="00420B78"/>
    <w:rsid w:val="00443385"/>
    <w:rsid w:val="004434D0"/>
    <w:rsid w:val="00445C2F"/>
    <w:rsid w:val="00455FA0"/>
    <w:rsid w:val="004630A9"/>
    <w:rsid w:val="004C77CC"/>
    <w:rsid w:val="004D39CA"/>
    <w:rsid w:val="004D7D8D"/>
    <w:rsid w:val="00503561"/>
    <w:rsid w:val="00506125"/>
    <w:rsid w:val="0052357F"/>
    <w:rsid w:val="005327F0"/>
    <w:rsid w:val="00535BAF"/>
    <w:rsid w:val="00536724"/>
    <w:rsid w:val="00554DF1"/>
    <w:rsid w:val="00574999"/>
    <w:rsid w:val="00583C35"/>
    <w:rsid w:val="005B06A7"/>
    <w:rsid w:val="005C2CF9"/>
    <w:rsid w:val="005C5DAF"/>
    <w:rsid w:val="005D1661"/>
    <w:rsid w:val="005D7488"/>
    <w:rsid w:val="0062097D"/>
    <w:rsid w:val="00622B3C"/>
    <w:rsid w:val="006233B0"/>
    <w:rsid w:val="0066558C"/>
    <w:rsid w:val="006704CF"/>
    <w:rsid w:val="00673A66"/>
    <w:rsid w:val="006D247C"/>
    <w:rsid w:val="006D28B2"/>
    <w:rsid w:val="006E0213"/>
    <w:rsid w:val="00700061"/>
    <w:rsid w:val="00702160"/>
    <w:rsid w:val="007133C5"/>
    <w:rsid w:val="00716047"/>
    <w:rsid w:val="007249B5"/>
    <w:rsid w:val="0072558A"/>
    <w:rsid w:val="00730B5F"/>
    <w:rsid w:val="007310EA"/>
    <w:rsid w:val="007361BA"/>
    <w:rsid w:val="007532A1"/>
    <w:rsid w:val="0076707F"/>
    <w:rsid w:val="007872B9"/>
    <w:rsid w:val="007879A4"/>
    <w:rsid w:val="00792DE8"/>
    <w:rsid w:val="0079492A"/>
    <w:rsid w:val="007A487E"/>
    <w:rsid w:val="007A59E5"/>
    <w:rsid w:val="007B379E"/>
    <w:rsid w:val="007C35C6"/>
    <w:rsid w:val="007D5EC4"/>
    <w:rsid w:val="008135E7"/>
    <w:rsid w:val="00813A11"/>
    <w:rsid w:val="00834A61"/>
    <w:rsid w:val="00874D61"/>
    <w:rsid w:val="00883BF9"/>
    <w:rsid w:val="00891D6D"/>
    <w:rsid w:val="00895D9A"/>
    <w:rsid w:val="008B7F22"/>
    <w:rsid w:val="008E0D6B"/>
    <w:rsid w:val="008E6046"/>
    <w:rsid w:val="008F6569"/>
    <w:rsid w:val="008F6D65"/>
    <w:rsid w:val="008F7F66"/>
    <w:rsid w:val="00900617"/>
    <w:rsid w:val="009277E5"/>
    <w:rsid w:val="00931649"/>
    <w:rsid w:val="009323CB"/>
    <w:rsid w:val="00945128"/>
    <w:rsid w:val="009518DF"/>
    <w:rsid w:val="009915BA"/>
    <w:rsid w:val="009A002A"/>
    <w:rsid w:val="009A4D77"/>
    <w:rsid w:val="009B5615"/>
    <w:rsid w:val="009E5531"/>
    <w:rsid w:val="00A17376"/>
    <w:rsid w:val="00A35355"/>
    <w:rsid w:val="00A41FE9"/>
    <w:rsid w:val="00A45EF9"/>
    <w:rsid w:val="00A57C7E"/>
    <w:rsid w:val="00A6187C"/>
    <w:rsid w:val="00A61E00"/>
    <w:rsid w:val="00A85E14"/>
    <w:rsid w:val="00A97941"/>
    <w:rsid w:val="00AC01DE"/>
    <w:rsid w:val="00AC28A4"/>
    <w:rsid w:val="00AC5503"/>
    <w:rsid w:val="00AD359E"/>
    <w:rsid w:val="00AE6C80"/>
    <w:rsid w:val="00AE6D1C"/>
    <w:rsid w:val="00AF7794"/>
    <w:rsid w:val="00B06DD5"/>
    <w:rsid w:val="00B721FE"/>
    <w:rsid w:val="00B80208"/>
    <w:rsid w:val="00B84A1D"/>
    <w:rsid w:val="00BA27D3"/>
    <w:rsid w:val="00BA3689"/>
    <w:rsid w:val="00BB19A6"/>
    <w:rsid w:val="00BC1462"/>
    <w:rsid w:val="00BC4C24"/>
    <w:rsid w:val="00BE0459"/>
    <w:rsid w:val="00BF51BA"/>
    <w:rsid w:val="00BF7DD9"/>
    <w:rsid w:val="00BF7E07"/>
    <w:rsid w:val="00C83E84"/>
    <w:rsid w:val="00C9116A"/>
    <w:rsid w:val="00C95944"/>
    <w:rsid w:val="00CA314F"/>
    <w:rsid w:val="00CB5835"/>
    <w:rsid w:val="00CC6217"/>
    <w:rsid w:val="00CE698E"/>
    <w:rsid w:val="00CF0173"/>
    <w:rsid w:val="00CF2318"/>
    <w:rsid w:val="00CF6F0C"/>
    <w:rsid w:val="00D10E00"/>
    <w:rsid w:val="00D14136"/>
    <w:rsid w:val="00D55883"/>
    <w:rsid w:val="00D65280"/>
    <w:rsid w:val="00D751D7"/>
    <w:rsid w:val="00DA2DF3"/>
    <w:rsid w:val="00DC05AC"/>
    <w:rsid w:val="00DC18C1"/>
    <w:rsid w:val="00DE15AB"/>
    <w:rsid w:val="00DF2D8F"/>
    <w:rsid w:val="00DF6AAF"/>
    <w:rsid w:val="00E02BBD"/>
    <w:rsid w:val="00E17057"/>
    <w:rsid w:val="00E27C84"/>
    <w:rsid w:val="00E51860"/>
    <w:rsid w:val="00E839FE"/>
    <w:rsid w:val="00EC55B7"/>
    <w:rsid w:val="00ED391C"/>
    <w:rsid w:val="00EE0932"/>
    <w:rsid w:val="00EE19B7"/>
    <w:rsid w:val="00F100B9"/>
    <w:rsid w:val="00F10574"/>
    <w:rsid w:val="00F164B4"/>
    <w:rsid w:val="00F31C81"/>
    <w:rsid w:val="00F32D38"/>
    <w:rsid w:val="00F534E6"/>
    <w:rsid w:val="00F56A91"/>
    <w:rsid w:val="00F6708E"/>
    <w:rsid w:val="00F71CAF"/>
    <w:rsid w:val="00F96232"/>
    <w:rsid w:val="00FA08EA"/>
    <w:rsid w:val="00FC42E5"/>
    <w:rsid w:val="00FC6B89"/>
    <w:rsid w:val="00FD2098"/>
    <w:rsid w:val="00FF0736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9F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4BB8"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0"/>
      <w:ind w:left="567" w:hanging="567"/>
      <w:outlineLvl w:val="0"/>
    </w:pPr>
    <w:rPr>
      <w:b/>
      <w:smallCaps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ind w:left="709" w:hanging="709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/>
      <w:ind w:left="851" w:hanging="142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</w:pPr>
    <w:rPr>
      <w:b/>
      <w:smallCaps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56A9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A9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190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361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61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61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1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1B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C550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C5503"/>
  </w:style>
  <w:style w:type="paragraph" w:styleId="Zpat">
    <w:name w:val="footer"/>
    <w:basedOn w:val="Normln"/>
    <w:link w:val="ZpatChar"/>
    <w:uiPriority w:val="99"/>
    <w:unhideWhenUsed/>
    <w:rsid w:val="00AC550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C5503"/>
  </w:style>
  <w:style w:type="character" w:styleId="Hypertextovodkaz">
    <w:name w:val="Hyperlink"/>
    <w:basedOn w:val="Standardnpsmoodstavce"/>
    <w:uiPriority w:val="99"/>
    <w:unhideWhenUsed/>
    <w:rsid w:val="002038C1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038C1"/>
    <w:rPr>
      <w:color w:val="605E5C"/>
      <w:shd w:val="clear" w:color="auto" w:fill="E1DFDD"/>
    </w:rPr>
  </w:style>
  <w:style w:type="character" w:customStyle="1" w:styleId="ui-provider">
    <w:name w:val="ui-provider"/>
    <w:basedOn w:val="Standardnpsmoodstavce"/>
    <w:rsid w:val="008F7F66"/>
  </w:style>
  <w:style w:type="paragraph" w:customStyle="1" w:styleId="Preambule">
    <w:name w:val="Preambule"/>
    <w:basedOn w:val="Normln"/>
    <w:qFormat/>
    <w:rsid w:val="00702160"/>
    <w:pPr>
      <w:widowControl w:val="0"/>
      <w:numPr>
        <w:numId w:val="8"/>
      </w:numPr>
      <w:ind w:hanging="567"/>
    </w:pPr>
    <w:rPr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2D7BBF"/>
    <w:pPr>
      <w:keepNext/>
      <w:spacing w:before="360" w:after="360"/>
      <w:ind w:left="567"/>
      <w:jc w:val="left"/>
    </w:pPr>
    <w:rPr>
      <w:szCs w:val="20"/>
      <w:lang w:eastAsia="en-US"/>
    </w:rPr>
  </w:style>
  <w:style w:type="paragraph" w:styleId="Revize">
    <w:name w:val="Revision"/>
    <w:hidden/>
    <w:uiPriority w:val="99"/>
    <w:semiHidden/>
    <w:rsid w:val="009E5531"/>
    <w:pPr>
      <w:spacing w:before="0"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AB68-AB09-4D0B-969B-4AA8D9F1BC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2025-06-03T09:20:00Z</dcterms:created>
  <dcterms:modified xsi:type="dcterms:W3CDTF">2025-08-05T09:44:00Z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2024-05-30T08:36:58Z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1cf80bfa-61c6-453a-a44d-d174d6c7f701</vt:lpwstr>
  </property>
  <property fmtid="{D5CDD505-2E9C-101B-9397-08002B2CF9AE}" pid="8" name="MSIP_Label_2063cd7f-2d21-486a-9f29-9c1683fdd175_ContentBits">
    <vt:lpwstr>0</vt:lpwstr>
  </property>
</Properties>
</file>