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F44C" w14:textId="77777777" w:rsidR="00BC14C6" w:rsidRDefault="00B757A2">
      <w:pPr>
        <w:framePr w:h="239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50 000\\media\\image1.jpeg" \* MERGEFORMATINET</w:instrText>
      </w:r>
      <w:r>
        <w:instrText xml:space="preserve"> </w:instrText>
      </w:r>
      <w:r>
        <w:fldChar w:fldCharType="separate"/>
      </w:r>
      <w:r>
        <w:pict w14:anchorId="35A56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20pt">
            <v:imagedata r:id="rId7" r:href="rId8"/>
          </v:shape>
        </w:pict>
      </w:r>
      <w:r>
        <w:fldChar w:fldCharType="end"/>
      </w:r>
    </w:p>
    <w:p w14:paraId="3EE9F1DC" w14:textId="77777777" w:rsidR="00BC14C6" w:rsidRDefault="00BC14C6">
      <w:pPr>
        <w:rPr>
          <w:sz w:val="2"/>
          <w:szCs w:val="2"/>
        </w:rPr>
      </w:pPr>
    </w:p>
    <w:p w14:paraId="2FF04E21" w14:textId="77777777" w:rsidR="00BC14C6" w:rsidRDefault="00B757A2">
      <w:pPr>
        <w:pStyle w:val="Zkladntext20"/>
        <w:shd w:val="clear" w:color="auto" w:fill="auto"/>
        <w:spacing w:before="461" w:after="500" w:line="210" w:lineRule="exact"/>
        <w:ind w:right="380" w:firstLine="0"/>
      </w:pPr>
      <w:r>
        <w:t>Tento Dodatek č. 1 k Dohodě o kvalitě je mezi</w:t>
      </w:r>
    </w:p>
    <w:p w14:paraId="30F20D39" w14:textId="77777777" w:rsidR="00BC14C6" w:rsidRDefault="00B757A2">
      <w:pPr>
        <w:pStyle w:val="Zkladntext20"/>
        <w:shd w:val="clear" w:color="auto" w:fill="auto"/>
        <w:spacing w:before="0" w:after="0" w:line="259" w:lineRule="exact"/>
        <w:ind w:right="2240" w:firstLine="0"/>
        <w:jc w:val="left"/>
      </w:pPr>
      <w:r>
        <w:rPr>
          <w:rStyle w:val="Zkladntext2Tun"/>
        </w:rPr>
        <w:t xml:space="preserve">Krevní centrum s.r.o., </w:t>
      </w:r>
      <w:r>
        <w:t>sídlem tř. T. G. Masaryka 495, 738 01 Frýdek-Místek IČO: 26798981, DIČ: CZ 26798981,</w:t>
      </w:r>
    </w:p>
    <w:p w14:paraId="50F21740" w14:textId="77777777" w:rsidR="00BC14C6" w:rsidRDefault="00B757A2">
      <w:pPr>
        <w:pStyle w:val="Zkladntext20"/>
        <w:shd w:val="clear" w:color="auto" w:fill="auto"/>
        <w:spacing w:before="0" w:after="99" w:line="259" w:lineRule="exact"/>
        <w:ind w:firstLine="0"/>
        <w:jc w:val="left"/>
      </w:pPr>
      <w:r>
        <w:t>společnost zapsaná v obchodním rejstříku vedeném Krajským soudem v Ostravě v oddílu C a vložce 27334, zastoupená MUDr. Borisem Bubeníkem, jednatelem</w:t>
      </w:r>
    </w:p>
    <w:p w14:paraId="7272E064" w14:textId="77777777" w:rsidR="00BC14C6" w:rsidRDefault="00B757A2">
      <w:pPr>
        <w:pStyle w:val="Zkladntext20"/>
        <w:shd w:val="clear" w:color="auto" w:fill="auto"/>
        <w:spacing w:before="0" w:after="500" w:line="210" w:lineRule="exact"/>
        <w:ind w:right="380" w:firstLine="0"/>
      </w:pPr>
      <w:r>
        <w:t>(dále jen DODAVATEL)</w:t>
      </w:r>
      <w:r>
        <w:br/>
        <w:t>a</w:t>
      </w:r>
    </w:p>
    <w:p w14:paraId="3C175CFB" w14:textId="77777777" w:rsidR="00BC14C6" w:rsidRDefault="00B757A2">
      <w:pPr>
        <w:pStyle w:val="Zkladntext20"/>
        <w:shd w:val="clear" w:color="auto" w:fill="auto"/>
        <w:spacing w:before="0" w:after="0" w:line="259" w:lineRule="exact"/>
        <w:ind w:firstLine="0"/>
        <w:jc w:val="left"/>
      </w:pPr>
      <w:r>
        <w:rPr>
          <w:rStyle w:val="Zkladntext2Tun"/>
        </w:rPr>
        <w:t xml:space="preserve">Nemocnice Třinec, příspěvková organizace, </w:t>
      </w:r>
      <w:r>
        <w:t xml:space="preserve">sídlem Kaštanová 268, Dolní </w:t>
      </w:r>
      <w:proofErr w:type="spellStart"/>
      <w:r>
        <w:t>Líštná</w:t>
      </w:r>
      <w:proofErr w:type="spellEnd"/>
      <w:r>
        <w:t>, 739 61 Třinec IČO: 00534242,</w:t>
      </w:r>
    </w:p>
    <w:p w14:paraId="6756DE60" w14:textId="77777777" w:rsidR="00BC14C6" w:rsidRDefault="00B757A2">
      <w:pPr>
        <w:pStyle w:val="Zkladntext20"/>
        <w:shd w:val="clear" w:color="auto" w:fill="auto"/>
        <w:spacing w:before="0" w:after="0" w:line="259" w:lineRule="exact"/>
        <w:ind w:firstLine="0"/>
        <w:jc w:val="left"/>
      </w:pPr>
      <w:r>
        <w:t xml:space="preserve">společnost zapsaná v obchodním rejstříku vedeném u Krajského soudu v Ostravě v oddílu </w:t>
      </w:r>
      <w:proofErr w:type="spellStart"/>
      <w:r>
        <w:t>Pr</w:t>
      </w:r>
      <w:proofErr w:type="spellEnd"/>
      <w:r>
        <w:t xml:space="preserve"> a vložce 908,</w:t>
      </w:r>
    </w:p>
    <w:p w14:paraId="0A9DF6E0" w14:textId="77777777" w:rsidR="00BC14C6" w:rsidRDefault="00B757A2">
      <w:pPr>
        <w:pStyle w:val="Zkladntext20"/>
        <w:shd w:val="clear" w:color="auto" w:fill="auto"/>
        <w:spacing w:before="0" w:after="279" w:line="259" w:lineRule="exact"/>
        <w:ind w:firstLine="0"/>
        <w:jc w:val="left"/>
      </w:pPr>
      <w:r>
        <w:t xml:space="preserve">zastoupená Bc. Jaroslavem </w:t>
      </w:r>
      <w:proofErr w:type="spellStart"/>
      <w:r>
        <w:t>Brzyszkowskim</w:t>
      </w:r>
      <w:proofErr w:type="spellEnd"/>
      <w:r>
        <w:t>, ředitelem</w:t>
      </w:r>
    </w:p>
    <w:p w14:paraId="6914955D" w14:textId="77777777" w:rsidR="00BC14C6" w:rsidRDefault="00B757A2">
      <w:pPr>
        <w:pStyle w:val="Zkladntext20"/>
        <w:shd w:val="clear" w:color="auto" w:fill="auto"/>
        <w:spacing w:before="0" w:after="1776" w:line="210" w:lineRule="exact"/>
        <w:ind w:right="380" w:firstLine="0"/>
      </w:pPr>
      <w:r>
        <w:t>(dále jen OBJEDNATEL)</w:t>
      </w:r>
    </w:p>
    <w:p w14:paraId="55B2EE25" w14:textId="77777777" w:rsidR="00BC14C6" w:rsidRDefault="00B757A2">
      <w:pPr>
        <w:pStyle w:val="Nadpis20"/>
        <w:keepNext/>
        <w:keepLines/>
        <w:shd w:val="clear" w:color="auto" w:fill="auto"/>
        <w:spacing w:before="0" w:after="240" w:line="260" w:lineRule="exact"/>
        <w:ind w:right="380"/>
      </w:pPr>
      <w:bookmarkStart w:id="0" w:name="bookmark0"/>
      <w:r>
        <w:t>DODATEK č. 1 K DOHODĚ O KVALITĚ</w:t>
      </w:r>
      <w:bookmarkEnd w:id="0"/>
    </w:p>
    <w:p w14:paraId="4C66E7B8" w14:textId="77777777" w:rsidR="00BC14C6" w:rsidRDefault="00B757A2">
      <w:pPr>
        <w:pStyle w:val="Nadpis30"/>
        <w:keepNext/>
        <w:keepLines/>
        <w:shd w:val="clear" w:color="auto" w:fill="auto"/>
        <w:spacing w:before="0" w:line="220" w:lineRule="exact"/>
        <w:ind w:right="380"/>
        <w:sectPr w:rsidR="00BC14C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1838" w:right="1752" w:bottom="1838" w:left="1378" w:header="0" w:footer="3" w:gutter="0"/>
          <w:cols w:space="720"/>
          <w:noEndnote/>
          <w:titlePg/>
          <w:docGrid w:linePitch="360"/>
        </w:sectPr>
      </w:pPr>
      <w:bookmarkStart w:id="1" w:name="bookmark1"/>
      <w:r>
        <w:t>Laboratorního vyšetření</w:t>
      </w:r>
      <w:bookmarkEnd w:id="1"/>
    </w:p>
    <w:p w14:paraId="22D4555D" w14:textId="77777777" w:rsidR="00BC14C6" w:rsidRDefault="00B757A2">
      <w:pPr>
        <w:pStyle w:val="Zkladntext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240" w:line="259" w:lineRule="exact"/>
        <w:ind w:left="300" w:right="240"/>
        <w:jc w:val="both"/>
      </w:pPr>
      <w:r>
        <w:lastRenderedPageBreak/>
        <w:t>Dodavatel s Objednatelem uzavřeli dne 13. 06. 2024 Dohodu o kvalitě, kterou se definovaly a stanovily povinnosti a odpovědnosti ve vztahu ke standardům jištění kvality pro Laboratorní vyšetření specifikované Rámcovou smlouvou o dílo poskytované DODAVATELEM, dále jen „Dohoda o kvalitě".</w:t>
      </w:r>
    </w:p>
    <w:p w14:paraId="46DB8A41" w14:textId="77777777" w:rsidR="00BC14C6" w:rsidRDefault="00B757A2">
      <w:pPr>
        <w:pStyle w:val="Zkladntext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279" w:line="259" w:lineRule="exact"/>
        <w:ind w:left="300" w:right="240"/>
        <w:jc w:val="both"/>
      </w:pPr>
      <w:r>
        <w:t>Dodavatel s Objednavatelem se dohodli na změně Kap. 7.4.1. Specifikace NAT vyšetření „Dohody o kvalitě" tak, že ji doplňují a nově bude znít takto:</w:t>
      </w:r>
    </w:p>
    <w:p w14:paraId="6F53C5AA" w14:textId="77777777" w:rsidR="00BC14C6" w:rsidRDefault="00B757A2">
      <w:pPr>
        <w:pStyle w:val="Zkladntext30"/>
        <w:shd w:val="clear" w:color="auto" w:fill="auto"/>
        <w:tabs>
          <w:tab w:val="left" w:pos="2254"/>
        </w:tabs>
        <w:spacing w:before="0" w:after="318" w:line="210" w:lineRule="exact"/>
        <w:ind w:left="900"/>
      </w:pPr>
      <w:r>
        <w:t>7.4.1.</w:t>
      </w:r>
      <w:r>
        <w:tab/>
        <w:t>Specifikace NAT vyšetření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690"/>
        <w:gridCol w:w="1570"/>
        <w:gridCol w:w="1574"/>
        <w:gridCol w:w="1574"/>
        <w:gridCol w:w="1584"/>
      </w:tblGrid>
      <w:tr w:rsidR="00BC14C6" w14:paraId="3A0B64D0" w14:textId="7777777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2F3BB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Zkladntext21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D3934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1"/>
              </w:rPr>
              <w:t>Název/ výrobce testu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86BDD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1"/>
              </w:rPr>
              <w:t>Analytická senzitivita IDT (</w:t>
            </w:r>
            <w:proofErr w:type="spellStart"/>
            <w:r>
              <w:rPr>
                <w:rStyle w:val="Zkladntext21"/>
              </w:rPr>
              <w:t>lU</w:t>
            </w:r>
            <w:proofErr w:type="spellEnd"/>
            <w:r>
              <w:rPr>
                <w:rStyle w:val="Zkladntext21"/>
              </w:rPr>
              <w:t>/ml) 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ECD50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1"/>
              </w:rPr>
              <w:t>Analytická senzitivita počítána na vzorek v poolu 8 (</w:t>
            </w:r>
            <w:proofErr w:type="spellStart"/>
            <w:r>
              <w:rPr>
                <w:rStyle w:val="Zkladntext21"/>
              </w:rPr>
              <w:t>lU</w:t>
            </w:r>
            <w:proofErr w:type="spellEnd"/>
            <w:r>
              <w:rPr>
                <w:rStyle w:val="Zkladntext21"/>
              </w:rPr>
              <w:t>/ml)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7293C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1"/>
              </w:rPr>
              <w:t>Analytická senzitivita počítána na vzorek v poolu 16 (</w:t>
            </w:r>
            <w:proofErr w:type="spellStart"/>
            <w:r>
              <w:rPr>
                <w:rStyle w:val="Zkladntext21"/>
              </w:rPr>
              <w:t>lU</w:t>
            </w:r>
            <w:proofErr w:type="spellEnd"/>
            <w:r>
              <w:rPr>
                <w:rStyle w:val="Zkladntext21"/>
              </w:rPr>
              <w:t>/ml)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5E552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1"/>
              </w:rPr>
              <w:t>Analytická senzitivita počítána na vzorek v poolu 96 (</w:t>
            </w:r>
            <w:proofErr w:type="spellStart"/>
            <w:r>
              <w:rPr>
                <w:rStyle w:val="Zkladntext21"/>
              </w:rPr>
              <w:t>lU</w:t>
            </w:r>
            <w:proofErr w:type="spellEnd"/>
            <w:r>
              <w:rPr>
                <w:rStyle w:val="Zkladntext21"/>
              </w:rPr>
              <w:t>/ml)</w:t>
            </w:r>
          </w:p>
        </w:tc>
      </w:tr>
      <w:tr w:rsidR="00BC14C6" w14:paraId="0AB5B50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75A39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NAT HIV 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D34AB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Procleix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Ultrio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  <w:lang w:val="en-US" w:eastAsia="en-US" w:bidi="en-US"/>
              </w:rPr>
              <w:t>Elite Assay, Grifols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A568A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6E4D8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5FDD8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288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83D55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1728</w:t>
            </w:r>
          </w:p>
        </w:tc>
      </w:tr>
      <w:tr w:rsidR="00BC14C6" w14:paraId="47CF167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DBA02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NAT HIV 2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05C5FA" w14:textId="77777777" w:rsidR="00BC14C6" w:rsidRDefault="00BC14C6">
            <w:pPr>
              <w:framePr w:w="9346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8ED59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10,4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64DF7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83,2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9E661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166,4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F56C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998,4</w:t>
            </w:r>
          </w:p>
        </w:tc>
      </w:tr>
      <w:tr w:rsidR="00BC14C6" w14:paraId="24E4010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C973C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NAT HCV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62BCC1" w14:textId="77777777" w:rsidR="00BC14C6" w:rsidRDefault="00BC14C6">
            <w:pPr>
              <w:framePr w:w="9346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FF794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9BCD5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E2FF1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1EDFE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288</w:t>
            </w:r>
          </w:p>
        </w:tc>
      </w:tr>
      <w:tr w:rsidR="00BC14C6" w14:paraId="3B6937A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7C4D4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NAT HBV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16D2B4" w14:textId="77777777" w:rsidR="00BC14C6" w:rsidRDefault="00BC14C6">
            <w:pPr>
              <w:framePr w:w="9346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E2D7D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4,3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3F60A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34,4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2D17A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68,8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E1E7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412,8</w:t>
            </w:r>
          </w:p>
        </w:tc>
      </w:tr>
      <w:tr w:rsidR="00BC14C6" w14:paraId="11E0A3A6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9E31B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  <w:lang w:val="en-US" w:eastAsia="en-US" w:bidi="en-US"/>
              </w:rPr>
              <w:t xml:space="preserve">NAT </w:t>
            </w:r>
            <w:r>
              <w:rPr>
                <w:rStyle w:val="Zkladntext21"/>
              </w:rPr>
              <w:t>HAV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A54EF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Procleix</w:t>
            </w:r>
            <w:proofErr w:type="spellEnd"/>
          </w:p>
          <w:p w14:paraId="44F90B4C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Parvo</w:t>
            </w:r>
            <w:proofErr w:type="spellEnd"/>
            <w:r>
              <w:rPr>
                <w:rStyle w:val="Zkladntext21"/>
              </w:rPr>
              <w:t>/HAV</w:t>
            </w:r>
          </w:p>
          <w:p w14:paraId="21333E79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Zkladntext21"/>
                <w:lang w:val="en-US" w:eastAsia="en-US" w:bidi="en-US"/>
              </w:rPr>
              <w:t>Assay,</w:t>
            </w:r>
          </w:p>
          <w:p w14:paraId="45F075F5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Grifols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A1537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1,06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CB753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8,48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1A48D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16,96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6DF2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NA</w:t>
            </w:r>
          </w:p>
        </w:tc>
      </w:tr>
      <w:tr w:rsidR="00BC14C6" w14:paraId="3BE9299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2DCC3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  <w:lang w:val="en-US" w:eastAsia="en-US" w:bidi="en-US"/>
              </w:rPr>
              <w:t xml:space="preserve">NAT </w:t>
            </w:r>
            <w:r>
              <w:rPr>
                <w:rStyle w:val="Zkladntext21"/>
              </w:rPr>
              <w:t>PB19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C0D4B" w14:textId="77777777" w:rsidR="00BC14C6" w:rsidRDefault="00BC14C6">
            <w:pPr>
              <w:framePr w:w="9346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6B1D1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325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061E9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91051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5 200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EA1D" w14:textId="77777777" w:rsidR="00BC14C6" w:rsidRDefault="00B757A2">
            <w:pPr>
              <w:pStyle w:val="Zkladntext20"/>
              <w:framePr w:w="934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NA</w:t>
            </w:r>
          </w:p>
        </w:tc>
      </w:tr>
    </w:tbl>
    <w:p w14:paraId="7AED2B2B" w14:textId="77777777" w:rsidR="00BC14C6" w:rsidRDefault="00B757A2">
      <w:pPr>
        <w:pStyle w:val="Titulektabulky0"/>
        <w:framePr w:w="9346" w:wrap="notBeside" w:vAnchor="text" w:hAnchor="text" w:xAlign="center" w:y="1"/>
        <w:shd w:val="clear" w:color="auto" w:fill="auto"/>
        <w:spacing w:line="210" w:lineRule="exact"/>
      </w:pPr>
      <w:r>
        <w:t xml:space="preserve">*95 % </w:t>
      </w:r>
      <w:proofErr w:type="spellStart"/>
      <w:r>
        <w:t>cut-off</w:t>
      </w:r>
      <w:proofErr w:type="spellEnd"/>
      <w:r>
        <w:t xml:space="preserve">, Limit </w:t>
      </w:r>
      <w:r>
        <w:rPr>
          <w:lang w:val="en-US" w:eastAsia="en-US" w:bidi="en-US"/>
        </w:rPr>
        <w:t>of detection</w:t>
      </w:r>
    </w:p>
    <w:p w14:paraId="779DFBFE" w14:textId="77777777" w:rsidR="00BC14C6" w:rsidRDefault="00BC14C6">
      <w:pPr>
        <w:framePr w:w="9346" w:wrap="notBeside" w:vAnchor="text" w:hAnchor="text" w:xAlign="center" w:y="1"/>
        <w:rPr>
          <w:sz w:val="2"/>
          <w:szCs w:val="2"/>
        </w:rPr>
      </w:pPr>
    </w:p>
    <w:p w14:paraId="02D9245B" w14:textId="77777777" w:rsidR="00BC14C6" w:rsidRDefault="00BC14C6">
      <w:pPr>
        <w:rPr>
          <w:sz w:val="2"/>
          <w:szCs w:val="2"/>
        </w:rPr>
      </w:pPr>
    </w:p>
    <w:p w14:paraId="5F546BE2" w14:textId="77777777" w:rsidR="00BC14C6" w:rsidRDefault="00B757A2">
      <w:pPr>
        <w:pStyle w:val="Zkladntext20"/>
        <w:shd w:val="clear" w:color="auto" w:fill="auto"/>
        <w:spacing w:before="727" w:after="0" w:line="259" w:lineRule="exact"/>
        <w:ind w:left="160" w:right="240" w:firstLine="0"/>
        <w:jc w:val="both"/>
      </w:pPr>
      <w:r>
        <w:t>Dodavatel služby provádí NAT testování vzorků v souladu s Vyhláškou č. 143/2008 Sb. ve znění účinném od 01. 07. 2023 - § 4, odstavec (3) - vyšetření diagnostických vzorků získaných od dárce („vzorky od dárce") zahrnující vyšetření k průkazu známek infekce</w:t>
      </w:r>
    </w:p>
    <w:p w14:paraId="44BB991E" w14:textId="77777777" w:rsidR="00BC14C6" w:rsidRDefault="00B757A2">
      <w:pPr>
        <w:pStyle w:val="Zkladntext20"/>
        <w:numPr>
          <w:ilvl w:val="0"/>
          <w:numId w:val="2"/>
        </w:numPr>
        <w:shd w:val="clear" w:color="auto" w:fill="auto"/>
        <w:tabs>
          <w:tab w:val="left" w:pos="432"/>
        </w:tabs>
        <w:spacing w:before="0" w:after="0" w:line="259" w:lineRule="exact"/>
        <w:ind w:left="160" w:right="240" w:firstLine="0"/>
        <w:jc w:val="both"/>
      </w:pPr>
      <w:r>
        <w:t>virem lidského imunodeficitu typů 1 a 2 (dále jen „HIV 1 a 2"), a to metodou přímé detekce virové RNA;</w:t>
      </w:r>
    </w:p>
    <w:p w14:paraId="6BEDE079" w14:textId="77777777" w:rsidR="00BC14C6" w:rsidRDefault="00B757A2">
      <w:pPr>
        <w:pStyle w:val="Zkladntext20"/>
        <w:numPr>
          <w:ilvl w:val="0"/>
          <w:numId w:val="2"/>
        </w:numPr>
        <w:shd w:val="clear" w:color="auto" w:fill="auto"/>
        <w:tabs>
          <w:tab w:val="left" w:pos="436"/>
        </w:tabs>
        <w:spacing w:before="0" w:after="0" w:line="259" w:lineRule="exact"/>
        <w:ind w:left="160" w:firstLine="0"/>
        <w:jc w:val="both"/>
      </w:pPr>
      <w:r>
        <w:t>virem hepatitidy B (dále jen „HBV"), metodou přímé detekce virové DNA;</w:t>
      </w:r>
    </w:p>
    <w:p w14:paraId="1FC9743A" w14:textId="77777777" w:rsidR="00BC14C6" w:rsidRDefault="00B757A2">
      <w:pPr>
        <w:pStyle w:val="Zkladntext20"/>
        <w:numPr>
          <w:ilvl w:val="0"/>
          <w:numId w:val="2"/>
        </w:numPr>
        <w:shd w:val="clear" w:color="auto" w:fill="auto"/>
        <w:tabs>
          <w:tab w:val="left" w:pos="441"/>
        </w:tabs>
        <w:spacing w:before="0" w:after="0" w:line="259" w:lineRule="exact"/>
        <w:ind w:left="160" w:firstLine="0"/>
        <w:jc w:val="both"/>
      </w:pPr>
      <w:r>
        <w:t>virem hepatitidy C (dále jen „HCV"), metodou přímé detekce virové RNA;</w:t>
      </w:r>
    </w:p>
    <w:p w14:paraId="0E7C88B3" w14:textId="77777777" w:rsidR="00BC14C6" w:rsidRDefault="00B757A2">
      <w:pPr>
        <w:pStyle w:val="Zkladntext20"/>
        <w:shd w:val="clear" w:color="auto" w:fill="auto"/>
        <w:spacing w:before="0" w:after="0" w:line="259" w:lineRule="exact"/>
        <w:ind w:left="160" w:right="240" w:firstLine="0"/>
        <w:jc w:val="both"/>
      </w:pPr>
      <w:r>
        <w:t xml:space="preserve">a odstavec (4) - vyšetření se provádějí u odběrů pro výrobu transfuzních přípravků metodami s prokazatelnou citlivostí ve výchozím vzorku alespoň 500 </w:t>
      </w:r>
      <w:proofErr w:type="spellStart"/>
      <w:r>
        <w:t>lU</w:t>
      </w:r>
      <w:proofErr w:type="spellEnd"/>
      <w:r>
        <w:t xml:space="preserve">/ml při stanovení HIV RNA, 35 </w:t>
      </w:r>
      <w:proofErr w:type="spellStart"/>
      <w:r>
        <w:t>lU</w:t>
      </w:r>
      <w:proofErr w:type="spellEnd"/>
      <w:r>
        <w:t xml:space="preserve">/ml při stanovení HBV DNA a 150 </w:t>
      </w:r>
      <w:proofErr w:type="spellStart"/>
      <w:r>
        <w:t>lU</w:t>
      </w:r>
      <w:proofErr w:type="spellEnd"/>
      <w:r>
        <w:t>/ml při stanovení HCV RNA.</w:t>
      </w:r>
    </w:p>
    <w:p w14:paraId="5A94F445" w14:textId="77777777" w:rsidR="00BC14C6" w:rsidRDefault="00B757A2">
      <w:pPr>
        <w:pStyle w:val="Zkladntext20"/>
        <w:shd w:val="clear" w:color="auto" w:fill="auto"/>
        <w:spacing w:before="0" w:after="0" w:line="259" w:lineRule="exact"/>
        <w:ind w:left="160" w:right="240" w:firstLine="0"/>
        <w:jc w:val="both"/>
        <w:sectPr w:rsidR="00BC14C6">
          <w:pgSz w:w="11900" w:h="16840"/>
          <w:pgMar w:top="2346" w:right="1171" w:bottom="2346" w:left="1243" w:header="0" w:footer="3" w:gutter="0"/>
          <w:cols w:space="720"/>
          <w:noEndnote/>
          <w:docGrid w:linePitch="360"/>
        </w:sectPr>
      </w:pPr>
      <w:r>
        <w:t xml:space="preserve">a u odběrů pro výrobu suroviny pro další zpracování metodami s prokazatelnou citlivostí ve výchozím vzorku alespoň 10000 </w:t>
      </w:r>
      <w:proofErr w:type="spellStart"/>
      <w:r>
        <w:t>lU</w:t>
      </w:r>
      <w:proofErr w:type="spellEnd"/>
      <w:r>
        <w:t xml:space="preserve">/ml při stanovení HIV RNA, 500 </w:t>
      </w:r>
      <w:proofErr w:type="spellStart"/>
      <w:r>
        <w:t>lU</w:t>
      </w:r>
      <w:proofErr w:type="spellEnd"/>
      <w:r>
        <w:t xml:space="preserve">/ml při stanovení HBV DNA a 5000 </w:t>
      </w:r>
      <w:proofErr w:type="spellStart"/>
      <w:r>
        <w:t>lU</w:t>
      </w:r>
      <w:proofErr w:type="spellEnd"/>
      <w:r>
        <w:t>/ml při stanovení HCV RNA.".</w:t>
      </w:r>
    </w:p>
    <w:p w14:paraId="1F6BF294" w14:textId="77777777" w:rsidR="00BC14C6" w:rsidRDefault="00B757A2">
      <w:pPr>
        <w:pStyle w:val="Zkladntext20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0" w:line="259" w:lineRule="exact"/>
        <w:ind w:left="160" w:firstLine="0"/>
        <w:jc w:val="both"/>
      </w:pPr>
      <w:r>
        <w:lastRenderedPageBreak/>
        <w:t>Ostatní smluvní ujednání zůstávají beze změny.</w:t>
      </w:r>
    </w:p>
    <w:p w14:paraId="0B45E6BE" w14:textId="77777777" w:rsidR="00BC14C6" w:rsidRDefault="00B757A2">
      <w:pPr>
        <w:pStyle w:val="Zkladntext20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0" w:line="259" w:lineRule="exact"/>
        <w:ind w:left="160" w:firstLine="0"/>
        <w:jc w:val="both"/>
      </w:pPr>
      <w:r>
        <w:t>Tento dodatek č. 1 je vyhotoven ve 2 stejnopisech a každá smluvní strana obdrží po jednom.</w:t>
      </w:r>
    </w:p>
    <w:p w14:paraId="13B1CBBC" w14:textId="77777777" w:rsidR="00BC14C6" w:rsidRDefault="00B757A2">
      <w:pPr>
        <w:pStyle w:val="Zkladntext20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0" w:line="259" w:lineRule="exact"/>
        <w:ind w:left="160" w:firstLine="0"/>
        <w:jc w:val="both"/>
      </w:pPr>
      <w:r>
        <w:t>Tento Dodatek č. 1 nabývá platnosti a účinnosti dnem podpisu oběma smluvními stranami.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824"/>
        <w:gridCol w:w="2491"/>
      </w:tblGrid>
      <w:tr w:rsidR="00BC14C6" w14:paraId="3BD39E3A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B46E" w14:textId="77777777" w:rsidR="00BC14C6" w:rsidRDefault="00B757A2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Tun0"/>
              </w:rPr>
              <w:t>DODAVATEL</w:t>
            </w:r>
          </w:p>
        </w:tc>
      </w:tr>
      <w:tr w:rsidR="00BC14C6" w14:paraId="6CBBB9F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9EEBD" w14:textId="77777777" w:rsidR="00BC14C6" w:rsidRDefault="00B757A2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Tištěné jméno: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89011" w14:textId="5A60652A" w:rsidR="00BC14C6" w:rsidRDefault="00BC14C6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</w:tr>
      <w:tr w:rsidR="00BC14C6" w14:paraId="5BE56448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AE244" w14:textId="1C13CEB6" w:rsidR="00BC14C6" w:rsidRDefault="00BC14C6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7564C" w14:textId="2F3EECEB" w:rsidR="00BC14C6" w:rsidRDefault="00BC14C6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300" w:lineRule="exact"/>
              <w:ind w:left="160" w:firstLine="0"/>
              <w:jc w:val="left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66460" w14:textId="071AEE91" w:rsidR="00BC14C6" w:rsidRDefault="00BC14C6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</w:tr>
      <w:tr w:rsidR="00BC14C6" w14:paraId="547FDA49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F6CDB" w14:textId="77777777" w:rsidR="00BC14C6" w:rsidRDefault="00B757A2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Tun0"/>
              </w:rPr>
              <w:t>O</w:t>
            </w:r>
            <w:r>
              <w:rPr>
                <w:rStyle w:val="Zkladntext2Tun0"/>
              </w:rPr>
              <w:t>BJEDNATEL</w:t>
            </w:r>
          </w:p>
        </w:tc>
      </w:tr>
      <w:tr w:rsidR="00BC14C6" w14:paraId="295B9D1C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5FC5C" w14:textId="77777777" w:rsidR="00BC14C6" w:rsidRDefault="00B757A2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Tištěné jméno: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F2718" w14:textId="621D2F4C" w:rsidR="00BC14C6" w:rsidRDefault="00BC14C6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</w:tr>
      <w:tr w:rsidR="00BC14C6" w14:paraId="7A1F6D3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70966" w14:textId="485AB1B6" w:rsidR="00BC14C6" w:rsidRDefault="00BC14C6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2059CF" w14:textId="46ABD016" w:rsidR="00BC14C6" w:rsidRDefault="00BC14C6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262D" w14:textId="3EEDDFB4" w:rsidR="00BC14C6" w:rsidRDefault="00BC14C6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</w:tr>
    </w:tbl>
    <w:p w14:paraId="12981A49" w14:textId="77777777" w:rsidR="00BC14C6" w:rsidRDefault="00BC14C6">
      <w:pPr>
        <w:framePr w:w="9120" w:wrap="notBeside" w:vAnchor="text" w:hAnchor="text" w:xAlign="center" w:y="1"/>
        <w:rPr>
          <w:sz w:val="2"/>
          <w:szCs w:val="2"/>
        </w:rPr>
      </w:pPr>
    </w:p>
    <w:p w14:paraId="70352D98" w14:textId="77777777" w:rsidR="00BC14C6" w:rsidRDefault="00BC14C6">
      <w:pPr>
        <w:rPr>
          <w:sz w:val="2"/>
          <w:szCs w:val="2"/>
        </w:rPr>
      </w:pPr>
    </w:p>
    <w:sectPr w:rsidR="00BC14C6">
      <w:pgSz w:w="11900" w:h="16840"/>
      <w:pgMar w:top="3105" w:right="1171" w:bottom="3105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4444" w14:textId="77777777" w:rsidR="00B757A2" w:rsidRDefault="00B757A2">
      <w:r>
        <w:separator/>
      </w:r>
    </w:p>
  </w:endnote>
  <w:endnote w:type="continuationSeparator" w:id="0">
    <w:p w14:paraId="7340A807" w14:textId="77777777" w:rsidR="00B757A2" w:rsidRDefault="00B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28B7" w14:textId="77777777" w:rsidR="00BC14C6" w:rsidRDefault="00B757A2">
    <w:pPr>
      <w:rPr>
        <w:sz w:val="2"/>
        <w:szCs w:val="2"/>
      </w:rPr>
    </w:pPr>
    <w:r>
      <w:pict w14:anchorId="697DE8E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2.9pt;margin-top:781.7pt;width:42.25pt;height:5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698BC93" w14:textId="77777777" w:rsidR="00BC14C6" w:rsidRDefault="00B757A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ze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35EA" w14:textId="77777777" w:rsidR="00BC14C6" w:rsidRDefault="00B757A2">
    <w:pPr>
      <w:rPr>
        <w:sz w:val="2"/>
        <w:szCs w:val="2"/>
      </w:rPr>
    </w:pPr>
    <w:r>
      <w:pict w14:anchorId="1E5DE3F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2.9pt;margin-top:781.7pt;width:42.25pt;height:5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7D9E0F7" w14:textId="77777777" w:rsidR="00BC14C6" w:rsidRDefault="00B757A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ze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0E65" w14:textId="77777777" w:rsidR="00BC14C6" w:rsidRDefault="00B757A2">
    <w:pPr>
      <w:rPr>
        <w:sz w:val="2"/>
        <w:szCs w:val="2"/>
      </w:rPr>
    </w:pPr>
    <w:r>
      <w:pict w14:anchorId="12FFCE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.9pt;margin-top:781.7pt;width:42.25pt;height:5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625EB3C" w14:textId="77777777" w:rsidR="00BC14C6" w:rsidRDefault="00B757A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ze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4801" w14:textId="77777777" w:rsidR="00BC14C6" w:rsidRDefault="00BC14C6"/>
  </w:footnote>
  <w:footnote w:type="continuationSeparator" w:id="0">
    <w:p w14:paraId="5D85A62B" w14:textId="77777777" w:rsidR="00BC14C6" w:rsidRDefault="00BC1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92E2" w14:textId="77777777" w:rsidR="00BC14C6" w:rsidRDefault="00B757A2">
    <w:pPr>
      <w:rPr>
        <w:sz w:val="2"/>
        <w:szCs w:val="2"/>
      </w:rPr>
    </w:pPr>
    <w:r>
      <w:pict w14:anchorId="067EAF2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8.8pt;margin-top:94.35pt;width:4.3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AAC83C7" w14:textId="77777777" w:rsidR="00BC14C6" w:rsidRDefault="00B757A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SegoeUI9ptTun"/>
                    <w:lang w:val="en-US" w:eastAsia="en-US" w:bidi="en-US"/>
                  </w:rPr>
                  <w:t>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3695" w14:textId="77777777" w:rsidR="00BC14C6" w:rsidRDefault="00B757A2">
    <w:pPr>
      <w:rPr>
        <w:sz w:val="2"/>
        <w:szCs w:val="2"/>
      </w:rPr>
    </w:pPr>
    <w:r>
      <w:pict w14:anchorId="451248C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4pt;margin-top:133.5pt;width:7.2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EC4ED2A" w14:textId="77777777" w:rsidR="00BC14C6" w:rsidRDefault="00B757A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SegoeUI9ptTun"/>
                  </w:rPr>
                  <w:t>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2E4D"/>
    <w:multiLevelType w:val="multilevel"/>
    <w:tmpl w:val="161480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AE37F2"/>
    <w:multiLevelType w:val="multilevel"/>
    <w:tmpl w:val="DC4C06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CD77A6"/>
    <w:multiLevelType w:val="multilevel"/>
    <w:tmpl w:val="CBAC43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76949">
    <w:abstractNumId w:val="1"/>
  </w:num>
  <w:num w:numId="2" w16cid:durableId="858933389">
    <w:abstractNumId w:val="2"/>
  </w:num>
  <w:num w:numId="3" w16cid:durableId="170906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4C6"/>
    <w:rsid w:val="005349F5"/>
    <w:rsid w:val="00B757A2"/>
    <w:rsid w:val="00B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D0D066"/>
  <w15:docId w15:val="{8A791713-A3B8-416E-A427-1589F06F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hlavneboZpatSegoeUI9ptTun">
    <w:name w:val="Záhlaví nebo Zápatí + Segoe UI;9 pt;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BookmanOldStyle75ptTun">
    <w:name w:val="Titulek tabulky + Bookman Old Style;7;5 pt;Tučné"/>
    <w:basedOn w:val="Titulektabulky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5ptTun">
    <w:name w:val="Základní text (2) + 1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BookmanOldStyle14ptTundkovn1pt">
    <w:name w:val="Základní text (2) + Bookman Old Style;14 pt;Tučné;Řádkování 1 p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600" w:line="0" w:lineRule="atLeast"/>
      <w:ind w:hanging="30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0" w:after="30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0" w:lineRule="atLeast"/>
      <w:jc w:val="center"/>
      <w:outlineLvl w:val="2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6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Calibri" w:eastAsia="Calibri" w:hAnsi="Calibri" w:cs="Calibri"/>
      <w:spacing w:val="-1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2025-08-05T06:14:00Z</dcterms:created>
  <dcterms:modified xsi:type="dcterms:W3CDTF">2025-08-05T06:15:00Z</dcterms:modified>
</cp:coreProperties>
</file>