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a.s. Bystřec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Bystřec čp. 411, 56154 Bystřec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Bystřec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43 495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6 813,50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Čenkovice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281 340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47 594,37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Orličky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154 091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16 629,51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Výprachtice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25 684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7 159,43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504 610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78 197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78 197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04.08.2025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