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B78" w:rsidRDefault="00C53B78">
      <w:pPr>
        <w:pStyle w:val="Textbody"/>
      </w:pPr>
    </w:p>
    <w:tbl>
      <w:tblPr>
        <w:tblW w:w="8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C53B78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3B78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hd w:val="clear" w:color="auto" w:fill="CCFFCC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hd w:val="clear" w:color="auto" w:fill="CCFFCC"/>
              </w:rPr>
              <w:t>JAN BALZER</w:t>
            </w:r>
          </w:p>
        </w:tc>
      </w:tr>
    </w:tbl>
    <w:p w:rsidR="00C53B78" w:rsidRDefault="00C53B78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4"/>
        </w:rPr>
      </w:pPr>
    </w:p>
    <w:p w:rsidR="00C53B78" w:rsidRDefault="00000000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Opatovická 165/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10 - 110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 00 Praha 1 Nové Město</w:t>
      </w:r>
    </w:p>
    <w:p w:rsidR="00C53B78" w:rsidRDefault="00000000">
      <w:pPr>
        <w:pStyle w:val="Textbodyindent"/>
        <w:ind w:firstLine="0"/>
        <w:jc w:val="center"/>
        <w:rPr>
          <w:i/>
          <w:iCs/>
        </w:rPr>
      </w:pPr>
      <w:r>
        <w:rPr>
          <w:i/>
          <w:iCs/>
        </w:rPr>
        <w:t>IČO: 45703680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DIČ: CZ410111026, plátce DPH</w:t>
      </w:r>
    </w:p>
    <w:p w:rsidR="00C53B78" w:rsidRDefault="00000000">
      <w:pPr>
        <w:pStyle w:val="Zpat"/>
        <w:jc w:val="center"/>
        <w:rPr>
          <w:i/>
          <w:iCs/>
        </w:rPr>
      </w:pPr>
      <w:proofErr w:type="spellStart"/>
      <w:r>
        <w:rPr>
          <w:i/>
          <w:iCs/>
        </w:rPr>
        <w:t>Evid</w:t>
      </w:r>
      <w:proofErr w:type="spellEnd"/>
      <w:r>
        <w:rPr>
          <w:i/>
          <w:iCs/>
        </w:rPr>
        <w:t xml:space="preserve">. u ŽO </w:t>
      </w:r>
      <w:proofErr w:type="gramStart"/>
      <w:r>
        <w:rPr>
          <w:i/>
          <w:iCs/>
        </w:rPr>
        <w:t>Praha  1</w:t>
      </w:r>
      <w:proofErr w:type="gramEnd"/>
    </w:p>
    <w:p w:rsidR="00C53B78" w:rsidRDefault="00000000">
      <w:pPr>
        <w:pStyle w:val="Zpat"/>
        <w:jc w:val="center"/>
        <w:rPr>
          <w:i/>
          <w:iCs/>
        </w:rPr>
      </w:pPr>
      <w:r>
        <w:rPr>
          <w:i/>
          <w:iCs/>
        </w:rPr>
        <w:t xml:space="preserve">     </w:t>
      </w:r>
      <w:proofErr w:type="spellStart"/>
      <w:r>
        <w:rPr>
          <w:i/>
          <w:iCs/>
        </w:rPr>
        <w:t>Ev.č</w:t>
      </w:r>
      <w:proofErr w:type="spellEnd"/>
      <w:r>
        <w:rPr>
          <w:i/>
          <w:iCs/>
        </w:rPr>
        <w:t>. 310001-000200292</w:t>
      </w:r>
      <w:r>
        <w:rPr>
          <w:i/>
          <w:iCs/>
        </w:rPr>
        <w:tab/>
      </w:r>
      <w:proofErr w:type="spellStart"/>
      <w:r>
        <w:rPr>
          <w:i/>
          <w:iCs/>
        </w:rPr>
        <w:t>Ev.č</w:t>
      </w:r>
      <w:proofErr w:type="spellEnd"/>
      <w:r>
        <w:rPr>
          <w:i/>
          <w:iCs/>
        </w:rPr>
        <w:t xml:space="preserve">. 310001-000200092                           </w:t>
      </w:r>
    </w:p>
    <w:p w:rsidR="00C53B78" w:rsidRDefault="00000000">
      <w:pPr>
        <w:pStyle w:val="Standard"/>
        <w:jc w:val="center"/>
      </w:pPr>
      <w:proofErr w:type="gramStart"/>
      <w:r>
        <w:rPr>
          <w:rFonts w:ascii="Times New Roman" w:hAnsi="Times New Roman" w:cs="Times New Roman"/>
          <w:i/>
          <w:iCs/>
          <w:sz w:val="20"/>
        </w:rPr>
        <w:t>Tel:+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420 </w:t>
      </w:r>
      <w:proofErr w:type="spellStart"/>
      <w:r w:rsidR="009546E2">
        <w:rPr>
          <w:rFonts w:ascii="Times New Roman" w:hAnsi="Times New Roman" w:cs="Times New Roman"/>
          <w:i/>
          <w:iCs/>
          <w:sz w:val="20"/>
        </w:rPr>
        <w:t>xxxxxxxxx</w:t>
      </w:r>
      <w:proofErr w:type="spellEnd"/>
    </w:p>
    <w:p w:rsidR="00C53B78" w:rsidRDefault="00000000">
      <w:pPr>
        <w:pStyle w:val="Standard"/>
        <w:jc w:val="center"/>
      </w:pPr>
      <w:hyperlink r:id="rId7" w:history="1">
        <w:r>
          <w:rPr>
            <w:rFonts w:ascii="Times New Roman" w:hAnsi="Times New Roman" w:cs="Times New Roman"/>
            <w:i/>
            <w:iCs/>
            <w:sz w:val="20"/>
          </w:rPr>
          <w:t>www.adf.cz</w:t>
        </w:r>
      </w:hyperlink>
      <w:r>
        <w:rPr>
          <w:rFonts w:ascii="Times New Roman" w:hAnsi="Times New Roman" w:cs="Times New Roman"/>
          <w:i/>
          <w:iCs/>
          <w:sz w:val="20"/>
        </w:rPr>
        <w:t>, divadlo.janbalzer@seznam.cz;</w:t>
      </w:r>
    </w:p>
    <w:p w:rsidR="00C53B78" w:rsidRDefault="00000000">
      <w:pPr>
        <w:pStyle w:val="Standard"/>
        <w:jc w:val="center"/>
      </w:pPr>
      <w:r>
        <w:rPr>
          <w:rFonts w:ascii="Times New Roman" w:hAnsi="Times New Roman" w:cs="Times New Roman"/>
          <w:i/>
          <w:iCs/>
          <w:sz w:val="20"/>
        </w:rPr>
        <w:t xml:space="preserve">Bankovní spojení: Česká spořitelna, a.s., bankovní účet č. 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207 351 6023 / 0800 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</w:p>
    <w:p w:rsidR="00C53B78" w:rsidRDefault="00000000">
      <w:pPr>
        <w:pStyle w:val="Standard"/>
        <w:jc w:val="center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Kontaktní osoba: Renáta Neumannová +420 </w:t>
      </w:r>
      <w:proofErr w:type="spellStart"/>
      <w:r w:rsidR="009546E2">
        <w:rPr>
          <w:rFonts w:ascii="Times New Roman" w:hAnsi="Times New Roman" w:cs="Times New Roman"/>
          <w:i/>
          <w:iCs/>
          <w:sz w:val="20"/>
        </w:rPr>
        <w:t>xxxxxxxxx</w:t>
      </w:r>
      <w:proofErr w:type="spellEnd"/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 xml:space="preserve">  </w:t>
      </w:r>
      <w:r>
        <w:rPr>
          <w:rFonts w:ascii="Times New Roman" w:hAnsi="Times New Roman" w:cs="Times New Roman"/>
          <w:i/>
          <w:iCs/>
          <w:sz w:val="20"/>
        </w:rPr>
        <w:tab/>
        <w:t xml:space="preserve">dále jen „Agentura“                                                                                                              </w:t>
      </w:r>
    </w:p>
    <w:p w:rsidR="00C53B78" w:rsidRDefault="00000000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C53B78" w:rsidRDefault="00C53B78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</w:p>
    <w:tbl>
      <w:tblPr>
        <w:tblW w:w="8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C53B78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3B78" w:rsidRDefault="00000000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CCFFCC"/>
              </w:rPr>
              <w:t>AKORD &amp; POKLAD, s.r.o.</w:t>
            </w:r>
          </w:p>
        </w:tc>
      </w:tr>
    </w:tbl>
    <w:p w:rsidR="00C53B78" w:rsidRDefault="00000000">
      <w:pPr>
        <w:pStyle w:val="Standard"/>
      </w:pPr>
      <w:r>
        <w:tab/>
      </w:r>
      <w:r>
        <w:tab/>
        <w:t xml:space="preserve"> 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se sídlem: náměstí SNP 1</w:t>
      </w: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  <w:t xml:space="preserve">            700 30 Ostrava – Zábřeh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  <w:t xml:space="preserve">Zapsaná: Krajský soud v Ostravě, spisová značka C 5281 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 xml:space="preserve">   IČO: 47973145</w:t>
      </w:r>
      <w:r>
        <w:rPr>
          <w:rFonts w:ascii="Times New Roman" w:hAnsi="Times New Roman" w:cs="Times New Roman"/>
          <w:i/>
          <w:iCs/>
          <w:sz w:val="20"/>
        </w:rPr>
        <w:tab/>
        <w:t xml:space="preserve">                              DIČ: CZ47973145, plátce DPH</w:t>
      </w: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                              Zastupuje: Mgr. Bc. Darina Daňková, MBA, jednatelka společnosti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                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       Kontaktní osoba: Ing. Taťána Strakošová (</w:t>
      </w:r>
      <w:proofErr w:type="spellStart"/>
      <w:r w:rsidR="009546E2">
        <w:rPr>
          <w:rFonts w:ascii="Times New Roman" w:hAnsi="Times New Roman" w:cs="Times New Roman"/>
          <w:i/>
          <w:iCs/>
          <w:color w:val="000000"/>
          <w:sz w:val="20"/>
        </w:rPr>
        <w:t>xxxxxxxxx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dále jen “Divadlo“</w:t>
      </w:r>
    </w:p>
    <w:p w:rsidR="00C53B78" w:rsidRDefault="00000000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 uzavírají tuto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shd w:val="clear" w:color="auto" w:fill="CCFFCC"/>
        </w:rPr>
      </w:pPr>
      <w:r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shd w:val="clear" w:color="auto" w:fill="CCFFCC"/>
        </w:rPr>
        <w:t>SMLOUVU O VEŘEJNÉM DIVADELNÍM PROVOZOVÁNÍ DÍLA</w:t>
      </w:r>
    </w:p>
    <w:p w:rsidR="00C53B78" w:rsidRDefault="00C53B78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20"/>
          <w:u w:val="single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1.Agentura touto smlouvou poskytuje Divadlu oprávnění užít veřejným divadelním provozováním divadelní hru autorky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</w:rPr>
        <w:t>Geraldine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Aron s názvem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"MŮJ BÁJEČNÝ ROZVOD"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 jeho překlad vytvořený překladatelem Pavlem Dominikem (dále jen “Překlad”), jakož i takto užít veškerá ostatní autorská díla, která se v nastudování Díla režisérkou Janou Kališovou při veřejném divadelním provozování díla spolu s Dílem provozují. Tato veškerá autorská díla se dále označují jen “Díla” s tím, že jako „představení“ se označuje jejich konkrétní realizace v nastudování režisérky Jany Kališové a v provedení výkonnými umělci tak, jak je podle této smlouvy Agentura dodá.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2.Oprávnění se poskytuje pro 1 představení</w:t>
      </w:r>
    </w:p>
    <w:p w:rsidR="00C53B78" w:rsidRDefault="00C53B78">
      <w:pPr>
        <w:pStyle w:val="Standard"/>
      </w:pP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ve dnech a časech: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 xml:space="preserve">26.9. 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2025  v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 xml:space="preserve"> 19,00 hodin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a v místě/adrese: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>AKORD Ostrava – Zábřeh, náměstí SNP 1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Délka představení: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>2,30 vč. přestávky (konec představení 21,30).           Přestávka: cca po 1,20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>3.Agentura se Divadlu dále zavazuje dodat pro představení osoby (výkonné umělce a technický personál) a věcná plnění (doprava, scénická a kostýmní výprava) tak, aby Díla mohla být provozována, tj. zajistí pro Divadlo, jakožto provozovatele,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</w:rPr>
        <w:t>tzv. představení na klíč.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4.Za poskytnutí oprávnění Díla k veřejnému divadelnímu provozování se Divadlo zavazuje poskytnout Agentuře cenu ve výši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70 000 Kč (slovy: sedmdesát tisíc korun českých) za představení a </w:t>
      </w:r>
      <w:r>
        <w:rPr>
          <w:rFonts w:cs="Times New Roman"/>
          <w:b/>
          <w:bCs/>
          <w:i/>
          <w:iCs/>
          <w:sz w:val="20"/>
        </w:rPr>
        <w:t>uhradit alikvótní část nákladů na dopravu (</w:t>
      </w:r>
      <w:proofErr w:type="spellStart"/>
      <w:r w:rsidR="009546E2">
        <w:rPr>
          <w:rFonts w:cs="Times New Roman"/>
          <w:b/>
          <w:bCs/>
          <w:i/>
          <w:iCs/>
          <w:sz w:val="20"/>
        </w:rPr>
        <w:t>xxx</w:t>
      </w:r>
      <w:proofErr w:type="spellEnd"/>
      <w:r>
        <w:rPr>
          <w:rFonts w:cs="Times New Roman"/>
          <w:b/>
          <w:bCs/>
          <w:i/>
          <w:iCs/>
          <w:sz w:val="20"/>
        </w:rPr>
        <w:t xml:space="preserve"> Kč/km), spolupořadatel je TRISIA Třinec. </w:t>
      </w:r>
      <w:r>
        <w:rPr>
          <w:rFonts w:ascii="Times New Roman" w:hAnsi="Times New Roman" w:cs="Times New Roman"/>
          <w:i/>
          <w:iCs/>
          <w:sz w:val="20"/>
        </w:rPr>
        <w:t xml:space="preserve">Tato cena zahrnuje i náhradu nákladů, které Agentura vynaloží na zajištění osob a věcí tak, jak stanoví tato smlouva. </w:t>
      </w:r>
    </w:p>
    <w:p w:rsidR="00C53B78" w:rsidRDefault="00000000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K cenám bude připočtena DPH v souladu s obecně závaznými předpisy. Cena je splatná po uskutečnění představení na základě fakturace Agentury.</w:t>
      </w:r>
    </w:p>
    <w:p w:rsidR="00C53B78" w:rsidRDefault="00C53B78">
      <w:pPr>
        <w:pStyle w:val="Textbody"/>
        <w:rPr>
          <w:rFonts w:ascii="Times New Roman" w:hAnsi="Times New Roman" w:cs="Times New Roman"/>
          <w:i/>
          <w:iCs/>
          <w:sz w:val="20"/>
        </w:rPr>
      </w:pP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lastRenderedPageBreak/>
        <w:t xml:space="preserve">4.1.Za poskytnutí užití Díla Divadlo uhradí za představení podle této smlouvy </w:t>
      </w:r>
      <w:proofErr w:type="spellStart"/>
      <w:r w:rsidR="009546E2">
        <w:rPr>
          <w:rFonts w:ascii="Times New Roman" w:hAnsi="Times New Roman" w:cs="Times New Roman"/>
          <w:i/>
          <w:iCs/>
          <w:sz w:val="20"/>
        </w:rPr>
        <w:t>xxx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Kč odměnu za licenci a </w:t>
      </w:r>
      <w:proofErr w:type="spellStart"/>
      <w:r w:rsidR="009546E2">
        <w:rPr>
          <w:rFonts w:ascii="Times New Roman" w:hAnsi="Times New Roman" w:cs="Times New Roman"/>
          <w:i/>
          <w:iCs/>
          <w:sz w:val="20"/>
        </w:rPr>
        <w:t>xxx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% tantiém (</w:t>
      </w:r>
      <w:proofErr w:type="spellStart"/>
      <w:r w:rsidR="009546E2">
        <w:rPr>
          <w:rFonts w:ascii="Times New Roman" w:hAnsi="Times New Roman" w:cs="Times New Roman"/>
          <w:i/>
          <w:iCs/>
          <w:sz w:val="20"/>
        </w:rPr>
        <w:t>xxxxxxxx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procent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tantiem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) z celkového hrubého příjmu dosaženého Divadlem ze vstupného na předmětné představení včetně příjmu z předplatného a dále poplatky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Intergramu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s tím spojené. Hrubými tržbami se rozumí úhrn tržeb za prodané vstupenky před odečtením jakýchkoli položek, včetně daňových. Je-li představení součástí abonentní řady, jako hrubá tržba se započítá poměrná část ceny všech prodaných abonentních vstupenek určená podle počtu představení zahrnutých v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abonomá</w:t>
      </w:r>
      <w:proofErr w:type="spellEnd"/>
      <w:r>
        <w:rPr>
          <w:rFonts w:ascii="Times New Roman" w:hAnsi="Times New Roman" w:cs="Times New Roman"/>
          <w:i/>
          <w:iCs/>
          <w:sz w:val="20"/>
        </w:rPr>
        <w:t>. K cenám bude připočtena DPH v souladu s obecně závaznými předpisy. Nejpozději do 5. dne následujícího po představení Divadlo zašle Agentuře (</w:t>
      </w:r>
      <w:hyperlink r:id="rId8" w:history="1">
        <w:r>
          <w:t>divadlo.janbalzer@seznam.cz</w:t>
        </w:r>
      </w:hyperlink>
      <w:r>
        <w:rPr>
          <w:rFonts w:ascii="Times New Roman" w:hAnsi="Times New Roman" w:cs="Times New Roman"/>
          <w:i/>
          <w:iCs/>
          <w:sz w:val="20"/>
        </w:rPr>
        <w:t xml:space="preserve">) a pí. K.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Schauerové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(</w:t>
      </w:r>
      <w:hyperlink r:id="rId9" w:history="1">
        <w:r>
          <w:rPr>
            <w:rStyle w:val="Internetlink"/>
            <w:rFonts w:ascii="Times New Roman" w:hAnsi="Times New Roman" w:cs="Times New Roman"/>
            <w:i/>
            <w:iCs/>
            <w:color w:val="000000"/>
            <w:sz w:val="20"/>
          </w:rPr>
          <w:t>adf@adf.cz</w:t>
        </w:r>
      </w:hyperlink>
      <w:r>
        <w:rPr>
          <w:rFonts w:ascii="Times New Roman" w:hAnsi="Times New Roman" w:cs="Times New Roman"/>
          <w:i/>
          <w:iCs/>
          <w:sz w:val="20"/>
        </w:rPr>
        <w:t xml:space="preserve">) vyúčtování celkového hrubého příjmu jako podklad pro fakturaci. Ve vyúčtování musí být uveden počet všech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diváků - maximální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kapacita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sálu - hrubá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tržba.</w:t>
      </w:r>
    </w:p>
    <w:p w:rsidR="00C53B78" w:rsidRDefault="00C53B78">
      <w:pPr>
        <w:pStyle w:val="Textbody"/>
        <w:jc w:val="both"/>
      </w:pP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Platba a způsob úhrady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</w:rPr>
        <w:t>tantiem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v celkové výši </w:t>
      </w:r>
      <w:proofErr w:type="spellStart"/>
      <w:r w:rsidR="009546E2">
        <w:rPr>
          <w:rFonts w:ascii="Times New Roman" w:hAnsi="Times New Roman" w:cs="Times New Roman"/>
          <w:b/>
          <w:bCs/>
          <w:i/>
          <w:iCs/>
          <w:sz w:val="20"/>
        </w:rPr>
        <w:t>xxx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% z hrubé tržby:</w:t>
      </w:r>
    </w:p>
    <w:p w:rsidR="00C53B78" w:rsidRDefault="009546E2">
      <w:pPr>
        <w:pStyle w:val="Textbody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i/>
          <w:iCs/>
          <w:sz w:val="20"/>
        </w:rPr>
        <w:t>xxx</w:t>
      </w:r>
      <w:proofErr w:type="spellEnd"/>
      <w:r w:rsidR="00000000">
        <w:rPr>
          <w:rFonts w:ascii="Times New Roman" w:hAnsi="Times New Roman" w:cs="Times New Roman"/>
          <w:i/>
          <w:iCs/>
          <w:sz w:val="20"/>
        </w:rPr>
        <w:t xml:space="preserve"> % (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xxxxxxx</w:t>
      </w:r>
      <w:proofErr w:type="spellEnd"/>
      <w:r w:rsidR="00000000">
        <w:rPr>
          <w:rFonts w:ascii="Times New Roman" w:hAnsi="Times New Roman" w:cs="Times New Roman"/>
          <w:i/>
          <w:iCs/>
          <w:sz w:val="20"/>
        </w:rPr>
        <w:t xml:space="preserve"> procent/autor, překladatel) na základě fakturace Kateřiny </w:t>
      </w:r>
      <w:proofErr w:type="spellStart"/>
      <w:r w:rsidR="00000000">
        <w:rPr>
          <w:rFonts w:ascii="Times New Roman" w:hAnsi="Times New Roman" w:cs="Times New Roman"/>
          <w:i/>
          <w:iCs/>
          <w:sz w:val="20"/>
        </w:rPr>
        <w:t>Schauerové</w:t>
      </w:r>
      <w:proofErr w:type="spellEnd"/>
    </w:p>
    <w:p w:rsidR="00C53B78" w:rsidRDefault="009546E2">
      <w:pPr>
        <w:pStyle w:val="Textbody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i/>
          <w:iCs/>
          <w:sz w:val="20"/>
        </w:rPr>
        <w:t>xxx</w:t>
      </w:r>
      <w:proofErr w:type="spellEnd"/>
      <w:r w:rsidR="00000000">
        <w:rPr>
          <w:rFonts w:ascii="Times New Roman" w:hAnsi="Times New Roman" w:cs="Times New Roman"/>
          <w:i/>
          <w:iCs/>
          <w:sz w:val="20"/>
        </w:rPr>
        <w:t>% (</w:t>
      </w:r>
      <w:r>
        <w:rPr>
          <w:rFonts w:ascii="Times New Roman" w:hAnsi="Times New Roman" w:cs="Times New Roman"/>
          <w:i/>
          <w:iCs/>
          <w:sz w:val="20"/>
        </w:rPr>
        <w:t>xxxxxxx</w:t>
      </w:r>
      <w:r w:rsidR="00000000">
        <w:rPr>
          <w:rFonts w:ascii="Times New Roman" w:hAnsi="Times New Roman" w:cs="Times New Roman"/>
          <w:i/>
          <w:iCs/>
          <w:sz w:val="20"/>
        </w:rPr>
        <w:t xml:space="preserve"> procento/režie) na základě fakturace Agentury            </w:t>
      </w: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Divadlo je povinno, kdykoliv o to Agentura požádá, poskytnout vysvětlení k vyúčtování, jakož i poskytnout veškeré podklady potřebné pro jeho sestavení.</w:t>
      </w:r>
    </w:p>
    <w:p w:rsidR="00C53B78" w:rsidRDefault="00C53B78">
      <w:pPr>
        <w:pStyle w:val="Textbody"/>
        <w:jc w:val="both"/>
      </w:pP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 xml:space="preserve">4.2. Zákon o registru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smluv - obě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strany souhlasí a tímto berou na vědomí, že údaje v této smlouvě uvedené budou zveřejněny dle zákona č. 340/2015 Sb. v platném znění.</w:t>
      </w:r>
    </w:p>
    <w:p w:rsidR="00C53B78" w:rsidRDefault="00000000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Obě strany prohlašují, že za obchodní tajemství či jinak nezveřejňované údaje považují údaje uvedené v bodě 4.1.</w:t>
      </w:r>
    </w:p>
    <w:p w:rsidR="00C53B78" w:rsidRDefault="00C53B78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>5.Divadlo je povinno využít výkonných umělců a dalších osob zajišťovaných ze strany Agentury, a poskytnout jim podmínky k představení dle požadavků Agentury, a to v čase a místě, jak stanoví tato smlouva. Divadlo zajistí, min. po dobu představení, klid v přilehlých prostorách sálu.</w:t>
      </w:r>
    </w:p>
    <w:p w:rsidR="00C53B78" w:rsidRDefault="00C53B78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6.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Zvláštní ujednání</w:t>
      </w:r>
    </w:p>
    <w:p w:rsidR="00C53B78" w:rsidRDefault="00000000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a) Příprava představení /stavba, světla, zvuk, kostýmy, rekvizity/ 3 hodiny před začátkem představení. Pověření pracovníci Divadla pomohou při stavbě, bourání, vykládání a nakládání dekorace -1 pomocník. A dále 1 pracovník od zvuku a/nebo 1 pracovník od světel, kteří poskytnou informace o zvukové/světelné kabině technikům Agentury.</w:t>
      </w: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b) Divadlo zajistí černé pozadí na jevišti,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2 p</w:t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>raktikáblové desky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o rozměrech 100 x 200 cm + 1 praktikábl vysoký 20 cm (aby celý praktikábl/stupeň měl výšku cca 25 cm)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zakrytý látkou (pokud možno v barvě podlahy jeviště),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AKU vrtačku, b</w:t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 xml:space="preserve">arevné </w:t>
      </w: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0"/>
        </w:rPr>
        <w:t>filtry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- 1x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červený, 2x modrý a 1x zelený. Dále programovatelný světelný pult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u w:val="single"/>
        </w:rPr>
        <w:t>minimálně</w:t>
      </w:r>
      <w:r>
        <w:rPr>
          <w:rFonts w:ascii="Times New Roman" w:hAnsi="Times New Roman" w:cs="Times New Roman"/>
          <w:i/>
          <w:iCs/>
          <w:color w:val="000000"/>
          <w:sz w:val="2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0"/>
          <w:u w:val="single"/>
        </w:rPr>
        <w:t>10x1000W pro použití zepředu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(nikoliv PAR).</w:t>
      </w: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Tech. požadavky na zvuk. techniku: kompaktní širokopásmové repro boxy do auditoria o výkonu 2x300W; 2 samostatné zvukové řetězce; </w:t>
      </w:r>
      <w:r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1x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0"/>
        </w:rPr>
        <w:t>minidisk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 přehrávač s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0"/>
        </w:rPr>
        <w:t>autopauzou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; 1x mixážní pult umožňující stereo linkové připojení pro 2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</w:rPr>
        <w:t>minidisky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(připojovací kabely jsou na konci opatřeny konektory CYNCH); v případě umístění mix pultu v auditoriu, je nutné situovat ho v zadní části sálu tak, aby bylo možno přehlédnout celou scénu; pro mix pult umístěný ve zvuk. kabině je třeba zajistit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reprodukovaný odposlech z auditoria nebo přímý odposlech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. Také je nutný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perfektní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výhled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na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scénu pro zvuk i světla. Dále 1x lampička pro osvětlení mixu 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25W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>).</w:t>
      </w: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Nouzové osvětlení v divadle NESMÍ osvětlovat jeviště!</w:t>
      </w: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Divadlo zajistí, aby jeviště bylo uklizené!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 xml:space="preserve">Rozměry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jeviště - 8m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x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4m</w:t>
      </w:r>
      <w:proofErr w:type="gramEnd"/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proofErr w:type="gramStart"/>
      <w:r>
        <w:rPr>
          <w:rFonts w:ascii="Times New Roman" w:hAnsi="Times New Roman" w:cs="Times New Roman"/>
          <w:b/>
          <w:bCs/>
          <w:i/>
          <w:iCs/>
          <w:sz w:val="20"/>
        </w:rPr>
        <w:t>Hlediště - elevace</w:t>
      </w:r>
      <w:proofErr w:type="gramEnd"/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c) Během představení se zapalují svíčky.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d) Divadlo zajistí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vybavenou a vytopenou uzamykatelnou hereckou šatnu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, vč. možnosti využít sprchu a samostatné WC. A dále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drobné občerstvení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 jeden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prostor pro odpočinek spolupracovníků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Agentury.</w:t>
      </w: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e) Do propagačního materiálu souvisejícího s uvedenou hrou je Divadlo povinno uvést jednotným stylem a druhem písma titul hry a pod ním jméno autorky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Geraldine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Aron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a to ve stejné velikosti písma. Jména režiséra, překladatele a herečky budou uvedeny stejným stylem a druhem písma, ale ne větší než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50%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největšího písmene ve jménu autora a názvu hry.</w:t>
      </w:r>
    </w:p>
    <w:p w:rsidR="00C53B78" w:rsidRDefault="00000000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- všechny postavy ve hře představuje Eliška Balzerová</w:t>
      </w:r>
    </w:p>
    <w:p w:rsidR="00C53B78" w:rsidRDefault="00000000">
      <w:pPr>
        <w:pStyle w:val="Textbody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jméno </w:t>
      </w:r>
      <w:proofErr w:type="gramStart"/>
      <w:r>
        <w:rPr>
          <w:rFonts w:ascii="Times New Roman" w:hAnsi="Times New Roman" w:cs="Times New Roman"/>
          <w:i/>
          <w:iCs/>
          <w:sz w:val="20"/>
        </w:rPr>
        <w:t>překladatele - Pavel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Dominik</w:t>
      </w:r>
    </w:p>
    <w:p w:rsidR="00C53B78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jméno režiséra – Jana Kališová</w:t>
      </w:r>
    </w:p>
    <w:p w:rsidR="00C53B78" w:rsidRDefault="00000000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Dále bude uvedeno:</w:t>
      </w:r>
    </w:p>
    <w:p w:rsidR="00C53B78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Představení uvádí Agentura Jan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</w:rPr>
        <w:t>Balzer</w:t>
      </w:r>
      <w:proofErr w:type="spellEnd"/>
    </w:p>
    <w:p w:rsidR="00C53B78" w:rsidRDefault="00000000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Autorská a provozovací práva pro Českou republiku zastupuje Kateřina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Schauerová</w:t>
      </w:r>
      <w:proofErr w:type="spellEnd"/>
      <w:r>
        <w:rPr>
          <w:rFonts w:ascii="Times New Roman" w:hAnsi="Times New Roman" w:cs="Times New Roman"/>
          <w:i/>
          <w:iCs/>
          <w:sz w:val="20"/>
        </w:rPr>
        <w:t>.</w:t>
      </w:r>
    </w:p>
    <w:p w:rsidR="00C53B78" w:rsidRDefault="00C53B78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Doporučujeme použít plakát</w:t>
      </w:r>
      <w:r>
        <w:rPr>
          <w:rFonts w:ascii="Times New Roman" w:hAnsi="Times New Roman" w:cs="Times New Roman"/>
          <w:i/>
          <w:iCs/>
          <w:color w:val="000000"/>
          <w:sz w:val="20"/>
        </w:rPr>
        <w:t>, který bude na vyžádání zaslán a na který je možné doplnit nutné informace o hře (dle bodu 6, odst. e) a aktuální informace divadla.</w:t>
      </w:r>
    </w:p>
    <w:p w:rsidR="00C53B78" w:rsidRDefault="00C53B78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f) Představení není vhodné pro děti do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15ti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let.</w:t>
      </w: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g) Během představení je v souladu s platnými zákony o autorských právech zakázáno fotografovat (i bez blesku) a pořizovat obrazový a zvukový záznam.</w:t>
      </w: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h) Neobsazovat přední místa na levém postranním balkoně (z pohledu diváka), pokud je Divadlo má.</w:t>
      </w:r>
    </w:p>
    <w:p w:rsidR="00C53B78" w:rsidRDefault="00C53B78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Apple Braille"/>
          <w:i/>
          <w:iCs/>
          <w:color w:val="000000"/>
          <w:sz w:val="20"/>
        </w:rPr>
        <w:t xml:space="preserve">i) </w:t>
      </w:r>
      <w:r>
        <w:rPr>
          <w:rFonts w:ascii="Times New Roman" w:hAnsi="Times New Roman" w:cs="Avenir"/>
          <w:i/>
          <w:iCs/>
          <w:color w:val="000000"/>
          <w:sz w:val="20"/>
        </w:rPr>
        <w:t xml:space="preserve">Pořadatel zajistí a uhradí ubytování v hotelu včetně snídaně na jednu noc </w:t>
      </w:r>
      <w:r>
        <w:rPr>
          <w:rFonts w:ascii="Times New Roman" w:hAnsi="Times New Roman" w:cs="Avenir"/>
          <w:b/>
          <w:bCs/>
          <w:i/>
          <w:iCs/>
          <w:color w:val="000000"/>
          <w:sz w:val="20"/>
        </w:rPr>
        <w:t xml:space="preserve">(26. - 27.9 2025) </w:t>
      </w:r>
      <w:r>
        <w:rPr>
          <w:rFonts w:ascii="Times New Roman" w:hAnsi="Times New Roman" w:cs="Avenir"/>
          <w:i/>
          <w:iCs/>
          <w:color w:val="000000"/>
          <w:sz w:val="20"/>
        </w:rPr>
        <w:t>–</w:t>
      </w:r>
    </w:p>
    <w:p w:rsidR="00C53B78" w:rsidRDefault="00000000">
      <w:pPr>
        <w:pStyle w:val="Standard"/>
        <w:jc w:val="both"/>
      </w:pPr>
      <w:r>
        <w:rPr>
          <w:rFonts w:ascii="Times New Roman" w:hAnsi="Times New Roman" w:cs="Apple Braille"/>
          <w:i/>
          <w:iCs/>
          <w:color w:val="000000"/>
          <w:sz w:val="20"/>
        </w:rPr>
        <w:t xml:space="preserve">1 dvoulůžkový pokoj a 5 jednolůžkových pokojů se </w:t>
      </w:r>
      <w:r>
        <w:rPr>
          <w:rFonts w:ascii="Times New Roman" w:hAnsi="Times New Roman" w:cs="Apple Braille"/>
          <w:b/>
          <w:bCs/>
          <w:i/>
          <w:iCs/>
          <w:color w:val="000000"/>
          <w:sz w:val="20"/>
        </w:rPr>
        <w:t xml:space="preserve">zajištěním prodloužení pobytu na pokojích druhý den. </w:t>
      </w:r>
      <w:r>
        <w:rPr>
          <w:rFonts w:ascii="Times New Roman" w:hAnsi="Times New Roman" w:cs="Apple Braille"/>
          <w:i/>
          <w:iCs/>
          <w:color w:val="000000"/>
          <w:sz w:val="20"/>
        </w:rPr>
        <w:t>Počet pokojů (příp. druh pokoje) může být Agenturou s dostatečným předstihem změněn.  Alikvotní část uhradí TRISIA Třinec.</w:t>
      </w:r>
    </w:p>
    <w:p w:rsidR="00C53B78" w:rsidRDefault="00C53B78">
      <w:pPr>
        <w:pStyle w:val="Standard"/>
        <w:jc w:val="both"/>
        <w:rPr>
          <w:rFonts w:ascii="Times New Roman" w:hAnsi="Times New Roman" w:cs="Apple Braille"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7. Divadlo je povinno provozovat představení na svůj účet.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8. Divadlo je oprávněno propagovat uvedení hry ve sdělovacích prostředcích v max. délce 2 minut vysílacího času.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9. Divadlo touto smlouvou nezískává oprávnění k pořízení záznamu Děl ani uměleckých výkonů, kterými budou Díla provedena, ani k jejich rozhlasovému či televiznímu vysílání.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10. Oprávnění k užití Děl může Divadlo využít pouze za podmínek touto smlouvou stanovených, jakékoli užití nad rámec této smlouvy či jakékoli porušení povinnosti vyplývající z výše uvedených ustanovení této smlouvy má za následek automatické ukončení trvání této smlouvy, a to ke dni takového porušení či vybočení. Skončením smlouvy nejsou dotčeny nároky Agentury z porušení povinností Divadla vyplývajících z této smlouvy či zákona, zejména nárok na náhradu škody a vydání bezdůvodného obohacení.</w:t>
      </w:r>
    </w:p>
    <w:p w:rsidR="00C53B78" w:rsidRDefault="00C53B78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11. Divadlo není oprávněno provozovat Dílo, které není přístupné veřejnosti a/nebo bez vstupného nebo za jiné vstupné než v obvyklé výši, ledaže k tomu získá předchozí souhlas majitele práv.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12. Pro případ prodlení s platbou může být Divadlu účtován za každý den prodlení úrok ve výši 0,5 % Kč z dlužné částky.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13. Divadlo poskytne Agentuře na své náklady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čtyři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čestné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vstupenky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v předních řadách určené k reprezentačním či pracovním účelům na představení konané na základě této smlouvy.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14. Tato smlouva je sepsána ve dvou stejnopisech na základě pravé a svobodné vůle smluvních stran, určitě a srozumitelně a může být doplňována, měněna a rušena pouze písemnou formou.</w:t>
      </w: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  <w:vertAlign w:val="superscript"/>
        </w:rPr>
      </w:pP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C53B78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53B78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V Praze, dne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 xml:space="preserve">                            </w:t>
      </w:r>
      <w:r>
        <w:rPr>
          <w:rFonts w:ascii="Times New Roman" w:hAnsi="Times New Roman" w:cs="Times New Roman"/>
          <w:i/>
          <w:iCs/>
          <w:color w:val="000000"/>
          <w:sz w:val="20"/>
        </w:rPr>
        <w:t>V Ostravě, dne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 14.4.2025</w:t>
      </w:r>
    </w:p>
    <w:p w:rsidR="00C53B78" w:rsidRDefault="00C53B78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</w:p>
    <w:p w:rsidR="00C53B78" w:rsidRDefault="00C53B78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Agentura </w:t>
      </w: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Jan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Balzer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Divadlo</w:t>
      </w:r>
    </w:p>
    <w:p w:rsidR="00C53B78" w:rsidRDefault="00000000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 </w:t>
      </w:r>
    </w:p>
    <w:p w:rsidR="00C53B78" w:rsidRDefault="00000000">
      <w:pPr>
        <w:pStyle w:val="Standard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_______________________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________________________</w:t>
      </w:r>
    </w:p>
    <w:sectPr w:rsidR="00C53B7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ADE" w:rsidRDefault="00F21ADE">
      <w:r>
        <w:separator/>
      </w:r>
    </w:p>
  </w:endnote>
  <w:endnote w:type="continuationSeparator" w:id="0">
    <w:p w:rsidR="00F21ADE" w:rsidRDefault="00F2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ucida Grande CE">
    <w:altName w:val="Segoe UI"/>
    <w:charset w:val="00"/>
    <w:family w:val="auto"/>
    <w:pitch w:val="variable"/>
  </w:font>
  <w:font w:name="Geneva CE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CE">
    <w:altName w:val="Times New Roman"/>
    <w:charset w:val="00"/>
    <w:family w:val="auto"/>
    <w:pitch w:val="variable"/>
  </w:font>
  <w:font w:name="Times, 'Times New Roman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 Braille">
    <w:charset w:val="00"/>
    <w:family w:val="decorative"/>
    <w:pitch w:val="variable"/>
  </w:font>
  <w:font w:name="Avenir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ADE" w:rsidRDefault="00F21ADE">
      <w:r>
        <w:rPr>
          <w:color w:val="000000"/>
        </w:rPr>
        <w:separator/>
      </w:r>
    </w:p>
  </w:footnote>
  <w:footnote w:type="continuationSeparator" w:id="0">
    <w:p w:rsidR="00F21ADE" w:rsidRDefault="00F2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802"/>
    <w:multiLevelType w:val="multilevel"/>
    <w:tmpl w:val="EB2C79F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A65CEA"/>
    <w:multiLevelType w:val="multilevel"/>
    <w:tmpl w:val="9446D4D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75E6675"/>
    <w:multiLevelType w:val="multilevel"/>
    <w:tmpl w:val="B7B8B2B6"/>
    <w:styleLink w:val="WW8Num2"/>
    <w:lvl w:ilvl="0">
      <w:numFmt w:val="bullet"/>
      <w:lvlText w:val="-"/>
      <w:lvlJc w:val="left"/>
      <w:rPr>
        <w:rFonts w:ascii="Times New Roman" w:hAnsi="Times New Roman" w:cs="Times New Roman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65369689">
    <w:abstractNumId w:val="1"/>
  </w:num>
  <w:num w:numId="2" w16cid:durableId="1344940364">
    <w:abstractNumId w:val="2"/>
  </w:num>
  <w:num w:numId="3" w16cid:durableId="1011177371">
    <w:abstractNumId w:val="0"/>
  </w:num>
  <w:num w:numId="4" w16cid:durableId="145433012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3B78"/>
    <w:rsid w:val="009546E2"/>
    <w:rsid w:val="00B11C6A"/>
    <w:rsid w:val="00C53B78"/>
    <w:rsid w:val="00F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0186"/>
  <w15:docId w15:val="{E231A8B2-D704-48AE-B351-F4331395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rFonts w:ascii="Lucida Grande CE" w:hAnsi="Lucida Grande CE" w:cs="Lucida Grande CE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eneva CE" w:eastAsia="Geneva CE" w:hAnsi="Geneva CE" w:cs="Geneva CE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Times CE" w:eastAsia="Times, 'Times New Roman'" w:hAnsi="Times CE" w:cs="Times CE"/>
      <w:color w:val="000000"/>
      <w:sz w:val="22"/>
      <w:lang w:eastAsia="en-US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autoSpaceDE w:val="0"/>
      <w:ind w:firstLine="426"/>
    </w:pPr>
    <w:rPr>
      <w:rFonts w:ascii="Times New Roman" w:eastAsia="Times New Roman" w:hAnsi="Times New Roman" w:cs="Times New Roman"/>
      <w:sz w:val="20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sz w:val="20"/>
    </w:rPr>
  </w:style>
  <w:style w:type="paragraph" w:styleId="Zkladntext2">
    <w:name w:val="Body Text 2"/>
    <w:basedOn w:val="Standard"/>
    <w:rPr>
      <w:rFonts w:ascii="Lucida Grande CE" w:hAnsi="Lucida Grande CE" w:cs="Lucida Grande CE"/>
      <w:color w:val="000000"/>
      <w:sz w:val="18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2z0">
    <w:name w:val="WW8Num2z0"/>
    <w:rPr>
      <w:rFonts w:ascii="Times New Roman" w:hAnsi="Times New Roman" w:cs="Times New Roman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Normlnweb">
    <w:name w:val="Normal (Web)"/>
    <w:basedOn w:val="Normln"/>
    <w:rPr>
      <w:rFonts w:cs="Mangal"/>
      <w:szCs w:val="21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adlo.janbalze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f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f@ad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1407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a Divadelní Agentura</dc:title>
  <dc:creator>Katerina Schauerova</dc:creator>
  <cp:lastModifiedBy>Pivčíková Michaela</cp:lastModifiedBy>
  <cp:revision>2</cp:revision>
  <cp:lastPrinted>2024-10-10T10:31:00Z</cp:lastPrinted>
  <dcterms:created xsi:type="dcterms:W3CDTF">2025-08-01T07:18:00Z</dcterms:created>
  <dcterms:modified xsi:type="dcterms:W3CDTF">2025-08-01T07:18:00Z</dcterms:modified>
</cp:coreProperties>
</file>