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41" w:rsidRDefault="00E07D6F">
      <w:pPr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SMLOUVA O KONTROLNÍ ČINNOSTI</w:t>
      </w:r>
    </w:p>
    <w:p w:rsidR="001C6241" w:rsidRDefault="00E07D6F">
      <w:pPr>
        <w:pBdr>
          <w:bottom w:val="single" w:sz="4" w:space="0" w:color="FF0000"/>
        </w:pBdr>
        <w:spacing w:after="60"/>
        <w:outlineLvl w:val="0"/>
        <w:rPr>
          <w:b/>
          <w:bCs/>
          <w:color w:val="FF0000"/>
          <w:sz w:val="20"/>
          <w:szCs w:val="20"/>
          <w:u w:color="FF0000"/>
          <w:lang w:val="pt-PT"/>
        </w:rPr>
      </w:pPr>
      <w:r>
        <w:rPr>
          <w:b/>
          <w:bCs/>
          <w:color w:val="FF0000"/>
          <w:sz w:val="20"/>
          <w:szCs w:val="20"/>
          <w:u w:color="FF0000"/>
          <w:lang w:val="pt-PT"/>
        </w:rPr>
        <w:t>TAYLLORCOX GCS</w:t>
      </w:r>
    </w:p>
    <w:p w:rsidR="001C6241" w:rsidRDefault="00E07D6F">
      <w:pPr>
        <w:spacing w:after="0"/>
        <w:ind w:left="1985" w:hanging="198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Member of TAYLLORCOX UK Ltd. 75 King William St., EC4N, London, UK</w:t>
      </w:r>
    </w:p>
    <w:p w:rsidR="001C6241" w:rsidRDefault="00E07D6F">
      <w:pPr>
        <w:spacing w:after="0"/>
        <w:ind w:left="1985" w:hanging="1985"/>
        <w:rPr>
          <w:rStyle w:val="dn"/>
          <w:sz w:val="20"/>
          <w:szCs w:val="20"/>
        </w:rPr>
      </w:pPr>
      <w:r>
        <w:rPr>
          <w:sz w:val="20"/>
          <w:szCs w:val="20"/>
        </w:rPr>
        <w:t>Na Florenci 1055/35, Nov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Město - Praha 1, CZ 110 00,  </w:t>
      </w:r>
      <w:hyperlink r:id="rId7" w:history="1">
        <w:r>
          <w:rPr>
            <w:rStyle w:val="Hyperlink0"/>
          </w:rPr>
          <w:t>audit@tayllorcox.com</w:t>
        </w:r>
      </w:hyperlink>
    </w:p>
    <w:p w:rsidR="001C6241" w:rsidRDefault="001C6241">
      <w:pPr>
        <w:spacing w:after="120"/>
        <w:rPr>
          <w:rStyle w:val="dn"/>
          <w:b/>
          <w:bCs/>
          <w:sz w:val="20"/>
          <w:szCs w:val="20"/>
        </w:rPr>
      </w:pPr>
    </w:p>
    <w:p w:rsidR="001C6241" w:rsidRDefault="00E07D6F">
      <w:pPr>
        <w:outlineLvl w:val="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Smluvní strany:</w:t>
      </w:r>
    </w:p>
    <w:p w:rsidR="001C6241" w:rsidRDefault="00E07D6F">
      <w:pPr>
        <w:pBdr>
          <w:bottom w:val="single" w:sz="4" w:space="0" w:color="FF0000"/>
        </w:pBdr>
        <w:tabs>
          <w:tab w:val="left" w:pos="2127"/>
        </w:tabs>
        <w:spacing w:after="60" w:line="240" w:lineRule="auto"/>
        <w:rPr>
          <w:rStyle w:val="dn"/>
          <w:b/>
          <w:bCs/>
          <w:color w:val="FF0000"/>
          <w:sz w:val="20"/>
          <w:szCs w:val="20"/>
          <w:u w:color="FF0000"/>
        </w:rPr>
      </w:pPr>
      <w:r>
        <w:rPr>
          <w:rStyle w:val="dn"/>
          <w:color w:val="FF0000"/>
          <w:sz w:val="20"/>
          <w:szCs w:val="20"/>
          <w:u w:color="FF0000"/>
        </w:rPr>
        <w:t>Objednavatel:</w:t>
      </w:r>
      <w:r>
        <w:rPr>
          <w:rStyle w:val="dn"/>
          <w:color w:val="FF0000"/>
          <w:sz w:val="20"/>
          <w:szCs w:val="20"/>
          <w:u w:color="FF0000"/>
        </w:rPr>
        <w:tab/>
      </w:r>
      <w:r>
        <w:rPr>
          <w:rStyle w:val="dn"/>
          <w:b/>
          <w:bCs/>
          <w:color w:val="FF0000"/>
          <w:sz w:val="20"/>
          <w:szCs w:val="20"/>
          <w:u w:color="FF0000"/>
        </w:rPr>
        <w:t>Národní divadlo, p.o.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Ostrovní </w:t>
      </w:r>
      <w:r w:rsidR="0022784C">
        <w:rPr>
          <w:rStyle w:val="dn"/>
          <w:sz w:val="20"/>
          <w:szCs w:val="20"/>
        </w:rPr>
        <w:t>225/</w:t>
      </w:r>
      <w:r>
        <w:rPr>
          <w:rStyle w:val="dn"/>
          <w:sz w:val="20"/>
          <w:szCs w:val="20"/>
        </w:rPr>
        <w:t xml:space="preserve">1, </w:t>
      </w:r>
      <w:r w:rsidR="0022784C">
        <w:rPr>
          <w:rStyle w:val="dn"/>
          <w:sz w:val="20"/>
          <w:szCs w:val="20"/>
        </w:rPr>
        <w:t>110 00 Praha 1 – Nové Město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v zastoupení: Ing. Václav Pelouch, ředitel technicko – provozní správy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IČ: 00023337, DIČ: CZ00023337</w:t>
      </w:r>
    </w:p>
    <w:p w:rsidR="001C6241" w:rsidRDefault="00E07D6F">
      <w:pPr>
        <w:spacing w:after="60" w:line="240" w:lineRule="auto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a</w:t>
      </w:r>
    </w:p>
    <w:p w:rsidR="001C6241" w:rsidRDefault="001C6241">
      <w:pPr>
        <w:spacing w:after="60" w:line="240" w:lineRule="auto"/>
        <w:rPr>
          <w:rStyle w:val="dn"/>
          <w:sz w:val="20"/>
          <w:szCs w:val="20"/>
        </w:rPr>
      </w:pPr>
    </w:p>
    <w:p w:rsidR="001C6241" w:rsidRDefault="00E07D6F">
      <w:pPr>
        <w:spacing w:after="60" w:line="240" w:lineRule="auto"/>
        <w:outlineLvl w:val="0"/>
        <w:rPr>
          <w:rStyle w:val="dn"/>
          <w:color w:val="FF0000"/>
          <w:sz w:val="20"/>
          <w:szCs w:val="20"/>
          <w:u w:color="FF0000"/>
        </w:rPr>
      </w:pPr>
      <w:r>
        <w:rPr>
          <w:rStyle w:val="dn"/>
          <w:color w:val="FF0000"/>
          <w:sz w:val="20"/>
          <w:szCs w:val="20"/>
          <w:u w:color="FF0000"/>
        </w:rPr>
        <w:t>Vykonavatel:</w:t>
      </w:r>
    </w:p>
    <w:p w:rsidR="001C6241" w:rsidRDefault="00E07D6F">
      <w:pPr>
        <w:pBdr>
          <w:bottom w:val="single" w:sz="4" w:space="0" w:color="FF0000"/>
        </w:pBdr>
        <w:spacing w:after="60" w:line="240" w:lineRule="auto"/>
        <w:outlineLvl w:val="0"/>
        <w:rPr>
          <w:rStyle w:val="dn"/>
          <w:b/>
          <w:bCs/>
          <w:color w:val="FF0000"/>
          <w:sz w:val="20"/>
          <w:szCs w:val="20"/>
          <w:u w:color="FF0000"/>
        </w:rPr>
      </w:pPr>
      <w:r>
        <w:rPr>
          <w:rStyle w:val="dn"/>
          <w:color w:val="FF0000"/>
          <w:sz w:val="20"/>
          <w:szCs w:val="20"/>
          <w:u w:color="FF0000"/>
        </w:rPr>
        <w:t>(certifikační orgán):</w:t>
      </w:r>
      <w:r>
        <w:rPr>
          <w:rStyle w:val="dn"/>
          <w:color w:val="FF0000"/>
          <w:sz w:val="20"/>
          <w:szCs w:val="20"/>
          <w:u w:color="FF0000"/>
        </w:rPr>
        <w:tab/>
      </w:r>
      <w:r>
        <w:rPr>
          <w:rStyle w:val="dn"/>
          <w:b/>
          <w:bCs/>
          <w:color w:val="FF0000"/>
          <w:sz w:val="20"/>
          <w:szCs w:val="20"/>
          <w:u w:color="FF0000"/>
        </w:rPr>
        <w:t>TAYLLORCOX s.r.o.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Na Florenci 1055/35, 110 00  Praha 1 – Nov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Město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v zastoupení:</w:t>
      </w:r>
      <w:r>
        <w:rPr>
          <w:rStyle w:val="dn"/>
          <w:sz w:val="20"/>
          <w:szCs w:val="20"/>
        </w:rPr>
        <w:tab/>
        <w:t>Ing. Radek Nedvěd - jednatel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IČ: 279 02 587, DIČ: CZ27902587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Spisová značka: C 125 342 veden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u Městsk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soudu v Praze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Bank. spojení:</w:t>
      </w:r>
      <w:r>
        <w:rPr>
          <w:rStyle w:val="dn"/>
          <w:sz w:val="20"/>
          <w:szCs w:val="20"/>
        </w:rPr>
        <w:tab/>
        <w:t>Raiffeisenbank a.s.</w:t>
      </w:r>
    </w:p>
    <w:p w:rsidR="001C6241" w:rsidRDefault="00E07D6F">
      <w:pPr>
        <w:spacing w:after="60" w:line="240" w:lineRule="auto"/>
        <w:ind w:firstLine="212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č. účtu:</w:t>
      </w:r>
      <w:r>
        <w:rPr>
          <w:rStyle w:val="dn"/>
          <w:sz w:val="20"/>
          <w:szCs w:val="20"/>
        </w:rPr>
        <w:tab/>
        <w:t>455 625 3001 / 5500</w:t>
      </w:r>
    </w:p>
    <w:p w:rsidR="001C6241" w:rsidRDefault="001C6241">
      <w:pPr>
        <w:spacing w:after="60" w:line="240" w:lineRule="auto"/>
        <w:jc w:val="both"/>
        <w:rPr>
          <w:rStyle w:val="dn"/>
          <w:sz w:val="20"/>
          <w:szCs w:val="20"/>
        </w:rPr>
      </w:pPr>
    </w:p>
    <w:p w:rsidR="001C6241" w:rsidRDefault="00E07D6F">
      <w:pPr>
        <w:spacing w:after="0" w:line="240" w:lineRule="auto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Uzavírají </w:t>
      </w:r>
      <w:r w:rsidRPr="003A0DFA">
        <w:rPr>
          <w:rStyle w:val="dn"/>
          <w:sz w:val="20"/>
          <w:szCs w:val="20"/>
        </w:rPr>
        <w:t xml:space="preserve">za </w:t>
      </w:r>
      <w:r>
        <w:rPr>
          <w:rStyle w:val="dn"/>
          <w:sz w:val="20"/>
          <w:szCs w:val="20"/>
        </w:rPr>
        <w:t>účelem provedení certifikačního/re-certifikačního auditu, v souladu s obč</w:t>
      </w:r>
      <w:r>
        <w:rPr>
          <w:rStyle w:val="dn"/>
          <w:sz w:val="20"/>
          <w:szCs w:val="20"/>
          <w:lang w:val="da-DK"/>
        </w:rPr>
        <w:t>ansk</w:t>
      </w:r>
      <w:r>
        <w:rPr>
          <w:rStyle w:val="dn"/>
          <w:sz w:val="20"/>
          <w:szCs w:val="20"/>
        </w:rPr>
        <w:t>ým zákoníkem</w:t>
      </w:r>
      <w:r>
        <w:rPr>
          <w:rStyle w:val="dn"/>
          <w:sz w:val="20"/>
          <w:szCs w:val="20"/>
        </w:rPr>
        <w:br/>
        <w:t>č. 89/2012 Sb., tuto smlouvu:</w:t>
      </w:r>
    </w:p>
    <w:p w:rsidR="001C6241" w:rsidRDefault="001C6241">
      <w:pPr>
        <w:spacing w:after="0" w:line="240" w:lineRule="auto"/>
        <w:rPr>
          <w:rStyle w:val="dn"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Č</w:t>
      </w:r>
      <w:r>
        <w:rPr>
          <w:rStyle w:val="dn"/>
          <w:b/>
          <w:bCs/>
          <w:sz w:val="20"/>
          <w:szCs w:val="20"/>
          <w:lang w:val="pt-PT"/>
        </w:rPr>
        <w:t>l. I. P</w:t>
      </w:r>
      <w:r>
        <w:rPr>
          <w:rStyle w:val="dn"/>
          <w:b/>
          <w:bCs/>
          <w:sz w:val="20"/>
          <w:szCs w:val="20"/>
        </w:rPr>
        <w:t>ředmět plnění</w:t>
      </w:r>
    </w:p>
    <w:p w:rsidR="001C6241" w:rsidRDefault="001C6241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Předmětem plnění je nestrann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zjištění a posouzení, zda objednatel, resp. jím uvedená pracoviště a pobočky splňuje podmínky a krit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ria podle specifikovaných norem</w:t>
      </w:r>
      <w:r>
        <w:rPr>
          <w:rStyle w:val="dn"/>
        </w:rPr>
        <w:t xml:space="preserve"> </w:t>
      </w:r>
      <w:r>
        <w:rPr>
          <w:rStyle w:val="dn"/>
          <w:sz w:val="20"/>
          <w:szCs w:val="20"/>
        </w:rPr>
        <w:t>pro činnost:</w:t>
      </w:r>
    </w:p>
    <w:p w:rsidR="001C6241" w:rsidRDefault="001C6241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</w:p>
    <w:p w:rsidR="001C6241" w:rsidRDefault="001C6241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</w:p>
    <w:p w:rsidR="001C6241" w:rsidRDefault="00E07D6F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rStyle w:val="dn"/>
          <w:b/>
          <w:bCs/>
          <w:sz w:val="20"/>
          <w:szCs w:val="20"/>
          <w:lang w:val="en-US"/>
        </w:rPr>
        <w:t xml:space="preserve">Facility management. </w:t>
      </w:r>
    </w:p>
    <w:p w:rsidR="001C6241" w:rsidRDefault="00E07D6F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Výroba a rozvod tepeln</w:t>
      </w:r>
      <w:r>
        <w:rPr>
          <w:rStyle w:val="dn"/>
          <w:b/>
          <w:bCs/>
          <w:sz w:val="20"/>
          <w:szCs w:val="20"/>
          <w:lang w:val="fr-FR"/>
        </w:rPr>
        <w:t xml:space="preserve">é </w:t>
      </w:r>
      <w:r>
        <w:rPr>
          <w:rStyle w:val="dn"/>
          <w:b/>
          <w:bCs/>
          <w:sz w:val="20"/>
          <w:szCs w:val="20"/>
        </w:rPr>
        <w:t>energie.</w:t>
      </w:r>
    </w:p>
    <w:p w:rsidR="001C6241" w:rsidRDefault="001C6241">
      <w:pPr>
        <w:spacing w:after="0" w:line="240" w:lineRule="auto"/>
        <w:ind w:left="1146"/>
        <w:rPr>
          <w:rStyle w:val="dn"/>
          <w:b/>
          <w:bCs/>
          <w:sz w:val="20"/>
          <w:szCs w:val="20"/>
        </w:rPr>
      </w:pPr>
    </w:p>
    <w:p w:rsidR="001C6241" w:rsidRDefault="001C6241">
      <w:pPr>
        <w:spacing w:after="0" w:line="240" w:lineRule="auto"/>
        <w:rPr>
          <w:rStyle w:val="dn"/>
          <w:b/>
          <w:bCs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Definice výše uvedené činnosti může být vykonavatelem upravena pro účely vydání certifikátu ve smyslu zjištění vzešlý</w:t>
      </w:r>
      <w:r>
        <w:rPr>
          <w:rStyle w:val="dn"/>
          <w:sz w:val="20"/>
          <w:szCs w:val="20"/>
          <w:lang w:val="de-DE"/>
        </w:rPr>
        <w:t>ch z</w:t>
      </w:r>
      <w:r>
        <w:rPr>
          <w:rStyle w:val="dn"/>
          <w:sz w:val="20"/>
          <w:szCs w:val="20"/>
        </w:rPr>
        <w:t xml:space="preserve"> posuzování </w:t>
      </w:r>
      <w:r>
        <w:rPr>
          <w:rStyle w:val="dn"/>
          <w:sz w:val="20"/>
          <w:szCs w:val="20"/>
          <w:lang w:val="pt-PT"/>
        </w:rPr>
        <w:t>(auditu). V</w:t>
      </w:r>
      <w:r>
        <w:rPr>
          <w:rStyle w:val="dn"/>
          <w:sz w:val="20"/>
          <w:szCs w:val="20"/>
        </w:rPr>
        <w:t>ýsledkem posouzení je zpráva z auditu, kterou vykonavatel předá objednateli a která obsahuje skutečnosti o plnění či neplnění požadavků pří</w:t>
      </w:r>
      <w:r>
        <w:rPr>
          <w:rStyle w:val="dn"/>
          <w:sz w:val="20"/>
          <w:szCs w:val="20"/>
          <w:lang w:val="da-DK"/>
        </w:rPr>
        <w:t>slu</w:t>
      </w:r>
      <w:r>
        <w:rPr>
          <w:rStyle w:val="dn"/>
          <w:sz w:val="20"/>
          <w:szCs w:val="20"/>
        </w:rPr>
        <w:t>šn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 xml:space="preserve">normy. V případě splnění </w:t>
      </w:r>
      <w:r>
        <w:rPr>
          <w:rStyle w:val="dn"/>
          <w:sz w:val="20"/>
          <w:szCs w:val="20"/>
          <w:lang w:val="de-DE"/>
        </w:rPr>
        <w:t>krit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rií výše uveden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normy certifikační orgán vydá objednateli certifikát. Předmětem plnění je provedení re-certifikačního auditu.</w:t>
      </w:r>
    </w:p>
    <w:p w:rsidR="001C6241" w:rsidRDefault="001C6241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426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Objednatel se zavazuje specifikovan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  <w:lang w:val="da-DK"/>
        </w:rPr>
        <w:t>slu</w:t>
      </w:r>
      <w:r>
        <w:rPr>
          <w:rStyle w:val="dn"/>
          <w:sz w:val="20"/>
          <w:szCs w:val="20"/>
        </w:rPr>
        <w:t>žby v předmětu plnění odebrat a zaplatit.</w:t>
      </w:r>
    </w:p>
    <w:p w:rsidR="001C6241" w:rsidRDefault="00E07D6F">
      <w:pPr>
        <w:pStyle w:val="ColorfulList-Accent11"/>
        <w:spacing w:after="0" w:line="240" w:lineRule="auto"/>
        <w:ind w:left="0"/>
        <w:jc w:val="both"/>
      </w:pPr>
      <w:r>
        <w:rPr>
          <w:rStyle w:val="dn"/>
          <w:rFonts w:ascii="Arial Unicode MS" w:hAnsi="Arial Unicode MS"/>
          <w:sz w:val="20"/>
          <w:szCs w:val="20"/>
        </w:rPr>
        <w:br w:type="page"/>
      </w: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lastRenderedPageBreak/>
        <w:t>Čl. II. Etapy – termíny plnění</w:t>
      </w:r>
    </w:p>
    <w:p w:rsidR="001C6241" w:rsidRDefault="00E07D6F">
      <w:pPr>
        <w:pStyle w:val="ColorfulList-Accent11"/>
        <w:numPr>
          <w:ilvl w:val="0"/>
          <w:numId w:val="4"/>
        </w:numPr>
        <w:spacing w:before="16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Uskutečnění re-certifikačního auditu 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mu řízení podle bodu Čl. I. smlouvy a projednání zjištěných skutečností s vedením objednatele.</w:t>
      </w:r>
    </w:p>
    <w:p w:rsidR="001C6241" w:rsidRDefault="00E07D6F">
      <w:pPr>
        <w:pStyle w:val="ColorfulList-Accent11"/>
        <w:spacing w:after="0" w:line="240" w:lineRule="auto"/>
        <w:ind w:left="709"/>
        <w:jc w:val="both"/>
        <w:outlineLvl w:val="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  <w:lang w:val="it-IT"/>
        </w:rPr>
        <w:t>Term</w:t>
      </w:r>
      <w:r>
        <w:rPr>
          <w:rStyle w:val="dn"/>
          <w:b/>
          <w:bCs/>
          <w:sz w:val="20"/>
          <w:szCs w:val="20"/>
        </w:rPr>
        <w:t>ín: dle článku V.</w:t>
      </w:r>
    </w:p>
    <w:p w:rsidR="001C6241" w:rsidRDefault="00E07D6F">
      <w:pPr>
        <w:pStyle w:val="ColorfulList-Accent11"/>
        <w:numPr>
          <w:ilvl w:val="0"/>
          <w:numId w:val="4"/>
        </w:numPr>
        <w:spacing w:before="16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Vypracování zprávy z auditu a projednání závěrů s vedením objednatele.</w:t>
      </w:r>
    </w:p>
    <w:p w:rsidR="001C6241" w:rsidRDefault="00E07D6F">
      <w:pPr>
        <w:pStyle w:val="ColorfulList-Accent11"/>
        <w:spacing w:after="0" w:line="240" w:lineRule="auto"/>
        <w:ind w:left="709"/>
        <w:jc w:val="both"/>
        <w:outlineLvl w:val="0"/>
        <w:rPr>
          <w:rStyle w:val="dn"/>
          <w:b/>
          <w:bCs/>
          <w:sz w:val="20"/>
          <w:szCs w:val="20"/>
        </w:rPr>
      </w:pPr>
      <w:r w:rsidRPr="00D44EC6">
        <w:rPr>
          <w:rStyle w:val="dn"/>
          <w:b/>
          <w:bCs/>
          <w:sz w:val="20"/>
          <w:szCs w:val="20"/>
          <w:lang w:val="en-US"/>
        </w:rPr>
        <w:t>Term</w:t>
      </w:r>
      <w:r>
        <w:rPr>
          <w:rStyle w:val="dn"/>
          <w:b/>
          <w:bCs/>
          <w:sz w:val="20"/>
          <w:szCs w:val="20"/>
        </w:rPr>
        <w:t>ín: do 14 dnů od provedení auditu</w:t>
      </w:r>
    </w:p>
    <w:p w:rsidR="001C6241" w:rsidRDefault="00E07D6F">
      <w:pPr>
        <w:pStyle w:val="ColorfulList-Accent11"/>
        <w:numPr>
          <w:ilvl w:val="0"/>
          <w:numId w:val="4"/>
        </w:numPr>
        <w:spacing w:before="16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Přezkoumání výsledku auditu včetně související</w:t>
      </w:r>
      <w:r>
        <w:rPr>
          <w:rStyle w:val="dn"/>
          <w:sz w:val="20"/>
          <w:szCs w:val="20"/>
          <w:lang w:val="de-DE"/>
        </w:rPr>
        <w:t>ch materi</w:t>
      </w:r>
      <w:r>
        <w:rPr>
          <w:rStyle w:val="dn"/>
          <w:sz w:val="20"/>
          <w:szCs w:val="20"/>
        </w:rPr>
        <w:t>álů a v případě souladu s normou vydání certifikátu podle požadovan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normy.</w:t>
      </w:r>
    </w:p>
    <w:p w:rsidR="001C6241" w:rsidRDefault="00E07D6F">
      <w:pPr>
        <w:pStyle w:val="ColorfulList-Accent11"/>
        <w:spacing w:after="0" w:line="240" w:lineRule="auto"/>
        <w:ind w:left="709"/>
        <w:jc w:val="both"/>
        <w:outlineLvl w:val="0"/>
        <w:rPr>
          <w:rStyle w:val="dn"/>
          <w:b/>
          <w:bCs/>
          <w:sz w:val="20"/>
          <w:szCs w:val="20"/>
        </w:rPr>
      </w:pPr>
      <w:r w:rsidRPr="00D44EC6">
        <w:rPr>
          <w:rStyle w:val="dn"/>
          <w:b/>
          <w:bCs/>
          <w:sz w:val="20"/>
          <w:szCs w:val="20"/>
        </w:rPr>
        <w:t>Term</w:t>
      </w:r>
      <w:r>
        <w:rPr>
          <w:rStyle w:val="dn"/>
          <w:b/>
          <w:bCs/>
          <w:sz w:val="20"/>
          <w:szCs w:val="20"/>
        </w:rPr>
        <w:t>ín: do 14-ti dnů po vyjádření objednatele ke zprávě auditu</w:t>
      </w:r>
    </w:p>
    <w:p w:rsidR="001C6241" w:rsidRDefault="00E07D6F">
      <w:pPr>
        <w:pStyle w:val="ColorfulList-Accent11"/>
        <w:numPr>
          <w:ilvl w:val="0"/>
          <w:numId w:val="4"/>
        </w:numPr>
        <w:spacing w:before="16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Nesoulad s výše uvedenou normou, prově</w:t>
      </w:r>
      <w:r>
        <w:rPr>
          <w:rStyle w:val="dn"/>
          <w:sz w:val="20"/>
          <w:szCs w:val="20"/>
          <w:lang w:val="sv-SE"/>
        </w:rPr>
        <w:t xml:space="preserve">rka </w:t>
      </w:r>
      <w:r>
        <w:rPr>
          <w:rStyle w:val="dn"/>
          <w:sz w:val="20"/>
          <w:szCs w:val="20"/>
        </w:rPr>
        <w:t>účinnosti nápravných opatření, uskutečněných objednatelem, eventuálně opakování činností, uvedený</w:t>
      </w:r>
      <w:r>
        <w:rPr>
          <w:rStyle w:val="dn"/>
          <w:sz w:val="20"/>
          <w:szCs w:val="20"/>
          <w:lang w:val="de-DE"/>
        </w:rPr>
        <w:t>ch v</w:t>
      </w:r>
      <w:r>
        <w:rPr>
          <w:rStyle w:val="dn"/>
          <w:sz w:val="20"/>
          <w:szCs w:val="20"/>
        </w:rPr>
        <w:t> odst. 1. a 2. se řeší dodatkem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smlouvy.</w:t>
      </w:r>
    </w:p>
    <w:p w:rsidR="001C6241" w:rsidRDefault="00E07D6F">
      <w:pPr>
        <w:pStyle w:val="ColorfulList-Accent11"/>
        <w:numPr>
          <w:ilvl w:val="0"/>
          <w:numId w:val="4"/>
        </w:numPr>
        <w:spacing w:before="16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Při opakovan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nesouladu s </w:t>
      </w:r>
      <w:r>
        <w:rPr>
          <w:rStyle w:val="dn"/>
          <w:sz w:val="20"/>
          <w:szCs w:val="20"/>
          <w:lang w:val="pt-PT"/>
        </w:rPr>
        <w:t>normou se certifika</w:t>
      </w:r>
      <w:r>
        <w:rPr>
          <w:rStyle w:val="dn"/>
          <w:sz w:val="20"/>
          <w:szCs w:val="20"/>
        </w:rPr>
        <w:t>ční řízení ukončí vydáním zprávy z auditu s nevyhovujícím výsledkem. Ustanovení článku III., odst. 1. d), e) a odst. 3. c) se v tomto případě na objednatele a vykonavatele nevztahují.</w:t>
      </w:r>
    </w:p>
    <w:p w:rsidR="001C6241" w:rsidRDefault="001C6241">
      <w:pPr>
        <w:pStyle w:val="ColorfulList-Accent11"/>
        <w:spacing w:after="0"/>
        <w:ind w:left="851" w:hanging="425"/>
        <w:rPr>
          <w:rStyle w:val="dn"/>
          <w:b/>
          <w:bCs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Č</w:t>
      </w:r>
      <w:r>
        <w:rPr>
          <w:rStyle w:val="dn"/>
          <w:b/>
          <w:bCs/>
          <w:sz w:val="20"/>
          <w:szCs w:val="20"/>
          <w:lang w:val="pt-PT"/>
        </w:rPr>
        <w:t>l. III. Pr</w:t>
      </w:r>
      <w:r>
        <w:rPr>
          <w:rStyle w:val="dn"/>
          <w:b/>
          <w:bCs/>
          <w:sz w:val="20"/>
          <w:szCs w:val="20"/>
        </w:rPr>
        <w:t>áva a povinnosti smluvních stran</w:t>
      </w:r>
    </w:p>
    <w:p w:rsidR="001C6241" w:rsidRDefault="00E07D6F">
      <w:pPr>
        <w:pStyle w:val="ColorfulList-Accent11"/>
        <w:numPr>
          <w:ilvl w:val="0"/>
          <w:numId w:val="6"/>
        </w:numPr>
        <w:spacing w:before="20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Objednatel se zavazuje: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  <w:lang w:val="de-DE"/>
        </w:rPr>
      </w:pPr>
      <w:r>
        <w:rPr>
          <w:rStyle w:val="dn"/>
          <w:sz w:val="20"/>
          <w:szCs w:val="20"/>
          <w:lang w:val="de-DE"/>
        </w:rPr>
        <w:t>Umo</w:t>
      </w:r>
      <w:r>
        <w:rPr>
          <w:rStyle w:val="dn"/>
          <w:sz w:val="20"/>
          <w:szCs w:val="20"/>
        </w:rPr>
        <w:t>žnit vykonavateli ve sjednan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  <w:lang w:val="pt-PT"/>
        </w:rPr>
        <w:t>m term</w:t>
      </w:r>
      <w:r>
        <w:rPr>
          <w:rStyle w:val="dn"/>
          <w:sz w:val="20"/>
          <w:szCs w:val="20"/>
        </w:rPr>
        <w:t>ínu zahájit certifikační audit a poskytnout mu potřebnou součinnost.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Vykonavateli předložit na vyžádání veškerou dokumentaci popisující 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(z toho příručku managementu, směrnice a vybran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postupy nejm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ně ve dvoutý</w:t>
      </w:r>
      <w:r>
        <w:rPr>
          <w:rStyle w:val="dn"/>
          <w:sz w:val="20"/>
          <w:szCs w:val="20"/>
          <w:lang w:val="de-DE"/>
        </w:rPr>
        <w:t>denn</w:t>
      </w:r>
      <w:r>
        <w:rPr>
          <w:rStyle w:val="dn"/>
          <w:sz w:val="20"/>
          <w:szCs w:val="20"/>
        </w:rPr>
        <w:t>ím předstihu př</w:t>
      </w:r>
      <w:r w:rsidRPr="00D44EC6">
        <w:rPr>
          <w:rStyle w:val="dn"/>
          <w:sz w:val="20"/>
          <w:szCs w:val="20"/>
          <w:lang w:val="de-DE"/>
        </w:rPr>
        <w:t>ed pl</w:t>
      </w:r>
      <w:r>
        <w:rPr>
          <w:rStyle w:val="dn"/>
          <w:sz w:val="20"/>
          <w:szCs w:val="20"/>
        </w:rPr>
        <w:t>ánovaným zahájením certifikačního auditu), umožnit přístup do všech prostor, ve kterých je třeba ověřit plnění výše uveden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normy a poskytnout všechny požadovan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informace.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Vykonavateli zpřístupnit všechny dokumenty a záznamy týkající se řešení neshod a reklamací.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Průběžně písemně informovat vykonavatele o všech změnách, majících vliv na 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managementu od vydání certifikátu po dobu jeho platnosti, a to v případě změny:</w:t>
      </w:r>
    </w:p>
    <w:p w:rsidR="001C6241" w:rsidRDefault="00E07D6F">
      <w:pPr>
        <w:pStyle w:val="ColorfulList-Accent11"/>
        <w:numPr>
          <w:ilvl w:val="1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 xml:space="preserve">právního statusu objednatele, </w:t>
      </w:r>
    </w:p>
    <w:p w:rsidR="001C6241" w:rsidRDefault="00E07D6F">
      <w:pPr>
        <w:pStyle w:val="ColorfulList-Accent11"/>
        <w:numPr>
          <w:ilvl w:val="1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vlastníka objednatele,</w:t>
      </w:r>
    </w:p>
    <w:p w:rsidR="001C6241" w:rsidRDefault="00E07D6F">
      <w:pPr>
        <w:pStyle w:val="ColorfulList-Accent11"/>
        <w:numPr>
          <w:ilvl w:val="1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ve vrcholov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vedení objednatele,</w:t>
      </w:r>
    </w:p>
    <w:p w:rsidR="001C6241" w:rsidRDefault="00E07D6F">
      <w:pPr>
        <w:pStyle w:val="ColorfulList-Accent11"/>
        <w:numPr>
          <w:ilvl w:val="1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kontaktního místa nebo adresy objednatele,</w:t>
      </w:r>
    </w:p>
    <w:p w:rsidR="001C6241" w:rsidRDefault="00E07D6F">
      <w:pPr>
        <w:pStyle w:val="ColorfulList-Accent11"/>
        <w:numPr>
          <w:ilvl w:val="1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předmětu činnosti objednatele,</w:t>
      </w:r>
    </w:p>
    <w:p w:rsidR="001C6241" w:rsidRDefault="00E07D6F">
      <w:pPr>
        <w:pStyle w:val="ColorfulList-Accent11"/>
        <w:numPr>
          <w:ilvl w:val="1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 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mu managementu řízení mající dopad na jeho funkčnost.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Bezodkladně informovat vykonavatele o závažn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incidentu nebo porušení předpisu vyžadujícímu zapojení pří</w:t>
      </w:r>
      <w:r>
        <w:rPr>
          <w:rStyle w:val="dn"/>
          <w:sz w:val="20"/>
          <w:szCs w:val="20"/>
          <w:lang w:val="da-DK"/>
        </w:rPr>
        <w:t>slu</w:t>
      </w:r>
      <w:r>
        <w:rPr>
          <w:rStyle w:val="dn"/>
          <w:sz w:val="20"/>
          <w:szCs w:val="20"/>
        </w:rPr>
        <w:t>šn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  <w:lang w:val="pt-PT"/>
        </w:rPr>
        <w:t>ho regula</w:t>
      </w:r>
      <w:r>
        <w:rPr>
          <w:rStyle w:val="dn"/>
          <w:sz w:val="20"/>
          <w:szCs w:val="20"/>
        </w:rPr>
        <w:t>čního orgánu (týká se pouze certifikace podle ISO 45001:2018).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Objednatel bere na vědomí, že záznamy vykonavatele z průběhu certifikační</w:t>
      </w:r>
      <w:r>
        <w:rPr>
          <w:rStyle w:val="dn"/>
          <w:sz w:val="20"/>
          <w:szCs w:val="20"/>
          <w:lang w:val="de-DE"/>
        </w:rPr>
        <w:t xml:space="preserve">ch </w:t>
      </w:r>
      <w:r>
        <w:rPr>
          <w:rStyle w:val="dn"/>
          <w:sz w:val="20"/>
          <w:szCs w:val="20"/>
        </w:rPr>
        <w:t>činností mohou být předloženy pracovníkům akreditačního orgánu v průběhu akreditačního procesu, za podmínek zachování důvěrnosti informací.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 xml:space="preserve">Podrobit se na vyzvání vykonavatele provedení kontrolních (dozorových) auditů alespoň </w:t>
      </w:r>
      <w:r>
        <w:rPr>
          <w:rStyle w:val="dn"/>
          <w:sz w:val="20"/>
          <w:szCs w:val="20"/>
          <w:lang w:val="de-DE"/>
        </w:rPr>
        <w:t>jedenkr</w:t>
      </w:r>
      <w:r>
        <w:rPr>
          <w:rStyle w:val="dn"/>
          <w:sz w:val="20"/>
          <w:szCs w:val="20"/>
        </w:rPr>
        <w:t>át ročně v rozsahu výše uveden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normy. Tyto se řídí stejnými podmínkami jako úvodní certifikační audit. Objednatel bere na vědomí, že pokud se nepodrobí na vyzvání certifikačního orgánu provedení dozorov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auditu, nesplní podmínky certifikace a certifikát zaniká.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Přijmout pro účely posuzování, dozoru, opakovan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posuzování a řešení stížností veškerá opatření nezbytná k provedení posuzování, včetně možnosti prostudování dokumentace, a přístupu do všech prostorů, k záznamům (včetně zprá</w:t>
      </w:r>
      <w:r>
        <w:rPr>
          <w:rStyle w:val="dn"/>
          <w:sz w:val="20"/>
          <w:szCs w:val="20"/>
          <w:lang w:val="pt-PT"/>
        </w:rPr>
        <w:t>v o intern</w:t>
      </w:r>
      <w:r>
        <w:rPr>
          <w:rStyle w:val="dn"/>
          <w:sz w:val="20"/>
          <w:szCs w:val="20"/>
        </w:rPr>
        <w:t>ích auditech) a k pracovníkům.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lastRenderedPageBreak/>
        <w:t>Na vyzvání umožnit, zajistit řádný průběh a poskytnout adekvátní součinnost při provedení svě</w:t>
      </w:r>
      <w:r>
        <w:rPr>
          <w:rStyle w:val="dn"/>
          <w:sz w:val="20"/>
          <w:szCs w:val="20"/>
          <w:lang w:val="de-DE"/>
        </w:rPr>
        <w:t>deck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posuzování akreditačním orgánem. Odmítnutí podstoupení svě</w:t>
      </w:r>
      <w:r>
        <w:rPr>
          <w:rStyle w:val="dn"/>
          <w:sz w:val="20"/>
          <w:szCs w:val="20"/>
          <w:lang w:val="de-DE"/>
        </w:rPr>
        <w:t>deck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posuzování akreditačním orgánem může v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st k odnětí akreditovan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 xml:space="preserve">certifikace v případě, že důvody pro odmítnutí nebyly akceptovány. 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Prohlašovat, že je certifikován pouze pro ty činnosti, pro kter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mu byla udělena certifikace.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Nepoužívat svou certifikaci způsobem, který by mohl ohrozit pově</w:t>
      </w:r>
      <w:r>
        <w:rPr>
          <w:rStyle w:val="dn"/>
          <w:sz w:val="20"/>
          <w:szCs w:val="20"/>
          <w:lang w:val="fr-FR"/>
        </w:rPr>
        <w:t>st certifika</w:t>
      </w:r>
      <w:r>
        <w:rPr>
          <w:rStyle w:val="dn"/>
          <w:sz w:val="20"/>
          <w:szCs w:val="20"/>
        </w:rPr>
        <w:t>čního orgánu, a nečinit žádná vyjádření stran sv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certifikace, která by mohl certifikační orgán považovat za zavádějící nebo neoprávněná.</w:t>
      </w:r>
    </w:p>
    <w:p w:rsidR="001C6241" w:rsidRDefault="00E07D6F">
      <w:pPr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Při pozastavení nebo odnětí certifikace (z jak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hokoliv důvodu) nebo když z jak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 xml:space="preserve">hokoliv důvodu u objednatele neproběhne řádný dohledový </w:t>
      </w:r>
      <w:r>
        <w:rPr>
          <w:rStyle w:val="dn"/>
          <w:sz w:val="20"/>
          <w:szCs w:val="20"/>
          <w:lang w:val="fr-FR"/>
        </w:rPr>
        <w:t>audit v</w:t>
      </w:r>
      <w:r>
        <w:rPr>
          <w:rStyle w:val="dn"/>
          <w:sz w:val="20"/>
          <w:szCs w:val="20"/>
        </w:rPr>
        <w:t> termínu dle č</w:t>
      </w:r>
      <w:r>
        <w:rPr>
          <w:rStyle w:val="dn"/>
          <w:sz w:val="20"/>
          <w:szCs w:val="20"/>
          <w:lang w:val="pt-PT"/>
        </w:rPr>
        <w:t>l. II.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smlouvy, př</w:t>
      </w:r>
      <w:r>
        <w:rPr>
          <w:rStyle w:val="dn"/>
          <w:sz w:val="20"/>
          <w:szCs w:val="20"/>
          <w:lang w:val="fr-FR"/>
        </w:rPr>
        <w:t>estat pou</w:t>
      </w:r>
      <w:r>
        <w:rPr>
          <w:rStyle w:val="dn"/>
          <w:sz w:val="20"/>
          <w:szCs w:val="20"/>
        </w:rPr>
        <w:t xml:space="preserve">žívat veškerý </w:t>
      </w:r>
      <w:r w:rsidRPr="003A0DFA">
        <w:rPr>
          <w:rStyle w:val="dn"/>
          <w:sz w:val="20"/>
          <w:szCs w:val="20"/>
          <w:lang w:val="pt-PT"/>
        </w:rPr>
        <w:t>propaga</w:t>
      </w:r>
      <w:r>
        <w:rPr>
          <w:rStyle w:val="dn"/>
          <w:sz w:val="20"/>
          <w:szCs w:val="20"/>
        </w:rPr>
        <w:t xml:space="preserve">ční </w:t>
      </w:r>
      <w:r w:rsidRPr="003A0DFA">
        <w:rPr>
          <w:rStyle w:val="dn"/>
          <w:sz w:val="20"/>
          <w:szCs w:val="20"/>
          <w:lang w:val="pt-PT"/>
        </w:rPr>
        <w:t>materi</w:t>
      </w:r>
      <w:r>
        <w:rPr>
          <w:rStyle w:val="dn"/>
          <w:sz w:val="20"/>
          <w:szCs w:val="20"/>
        </w:rPr>
        <w:t>ál obsahující jakýkoli odkaz na certifikaci a vrátit vešker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certifikační dokumenty do kanceláře certifikačního orgánu do 5 pracovních dnů. Za porušení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povinnosti je vykonavatel oprávněn vyúčtovat náhradu ve výši ceny za certifikační/re-certifikační audit. Objednatel se zavazuje tuto náhradu zaplatit.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Využívat certifikaci pouze k vyjádření toho, že 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 managementu je ve shodě se specifikovanými normami nebo jinými normativními dokumenty a nepoužívat svou certifikaci způsobem naznačujícím, že výrobek nebo služba jsou schváleny certifikačním orgánem.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Zajistit, aby žádný certifikační dokument, značka, zpráva nebo jakákoli jejich část nebyly používány zavádějícím způsobem.</w:t>
      </w:r>
    </w:p>
    <w:p w:rsidR="001C6241" w:rsidRDefault="00E07D6F">
      <w:pPr>
        <w:pStyle w:val="ColorfulList-Accent11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Při odkazování na svou certifikaci ve sdělovacích prostředcích, jako např. v dokumentech, brožurách nebo v reklamě, vyhově</w:t>
      </w:r>
      <w:r>
        <w:rPr>
          <w:rStyle w:val="dn"/>
          <w:sz w:val="20"/>
          <w:szCs w:val="20"/>
          <w:lang w:val="fr-FR"/>
        </w:rPr>
        <w:t>t po</w:t>
      </w:r>
      <w:r>
        <w:rPr>
          <w:rStyle w:val="dn"/>
          <w:sz w:val="20"/>
          <w:szCs w:val="20"/>
        </w:rPr>
        <w:t>žadavkům certifikačního orgánu.</w:t>
      </w:r>
    </w:p>
    <w:p w:rsidR="001C6241" w:rsidRDefault="00E07D6F">
      <w:pPr>
        <w:pStyle w:val="ColorfulList-Accent11"/>
        <w:numPr>
          <w:ilvl w:val="0"/>
          <w:numId w:val="9"/>
        </w:numPr>
        <w:spacing w:before="20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Objednatel má prá</w:t>
      </w:r>
      <w:r>
        <w:rPr>
          <w:rStyle w:val="dn"/>
          <w:sz w:val="20"/>
          <w:szCs w:val="20"/>
          <w:lang w:val="it-IT"/>
        </w:rPr>
        <w:t>vo:</w:t>
      </w:r>
    </w:p>
    <w:p w:rsidR="001C6241" w:rsidRDefault="00E07D6F">
      <w:pPr>
        <w:pStyle w:val="ColorfulList-Accent1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Požadovat po vykonavateli poskytnutí základních informací o procesu posouzení řízen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dokumentace a certifikačního auditu. Objednatelem zmocněný pracovník můž</w:t>
      </w:r>
      <w:r>
        <w:rPr>
          <w:rStyle w:val="dn"/>
          <w:sz w:val="20"/>
          <w:szCs w:val="20"/>
          <w:lang w:val="de-DE"/>
        </w:rPr>
        <w:t>e nahl</w:t>
      </w:r>
      <w:r>
        <w:rPr>
          <w:rStyle w:val="dn"/>
          <w:sz w:val="20"/>
          <w:szCs w:val="20"/>
        </w:rPr>
        <w:t>íž</w:t>
      </w:r>
      <w:r>
        <w:rPr>
          <w:rStyle w:val="dn"/>
          <w:sz w:val="20"/>
          <w:szCs w:val="20"/>
          <w:lang w:val="nl-NL"/>
        </w:rPr>
        <w:t>et do</w:t>
      </w:r>
      <w:r>
        <w:rPr>
          <w:rStyle w:val="dn"/>
          <w:sz w:val="20"/>
          <w:szCs w:val="20"/>
        </w:rPr>
        <w:t> příručky jakosti vykonavatele.</w:t>
      </w:r>
    </w:p>
    <w:p w:rsidR="001C6241" w:rsidRDefault="00E07D6F">
      <w:pPr>
        <w:pStyle w:val="ColorfulList-Accent1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Být v době plnění informová</w:t>
      </w:r>
      <w:r>
        <w:rPr>
          <w:rStyle w:val="dn"/>
          <w:sz w:val="20"/>
          <w:szCs w:val="20"/>
          <w:lang w:val="pt-PT"/>
        </w:rPr>
        <w:t>n o pr</w:t>
      </w:r>
      <w:r>
        <w:rPr>
          <w:rStyle w:val="dn"/>
          <w:sz w:val="20"/>
          <w:szCs w:val="20"/>
        </w:rPr>
        <w:t>ůběžný</w:t>
      </w:r>
      <w:r>
        <w:rPr>
          <w:rStyle w:val="dn"/>
          <w:sz w:val="20"/>
          <w:szCs w:val="20"/>
          <w:lang w:val="de-DE"/>
        </w:rPr>
        <w:t>ch v</w:t>
      </w:r>
      <w:r>
        <w:rPr>
          <w:rStyle w:val="dn"/>
          <w:sz w:val="20"/>
          <w:szCs w:val="20"/>
        </w:rPr>
        <w:t>ýsledcích auditu, pokud o to žádá.</w:t>
      </w:r>
    </w:p>
    <w:p w:rsidR="001C6241" w:rsidRDefault="00E07D6F">
      <w:pPr>
        <w:pStyle w:val="ColorfulList-Accent1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 průběhu auditu vzn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st námitky proti způsobu prověřování.</w:t>
      </w:r>
    </w:p>
    <w:p w:rsidR="001C6241" w:rsidRDefault="00E07D6F">
      <w:pPr>
        <w:pStyle w:val="ColorfulList-Accent1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Požadovat vrácení všech dokladů, kter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vykonavateli předal k zajištění plnění předmětu smlouvy.</w:t>
      </w:r>
    </w:p>
    <w:p w:rsidR="001C6241" w:rsidRDefault="00E07D6F">
      <w:pPr>
        <w:pStyle w:val="ColorfulList-Accent11"/>
        <w:numPr>
          <w:ilvl w:val="0"/>
          <w:numId w:val="12"/>
        </w:numPr>
        <w:spacing w:before="20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Vykonavatel se zavazuje:</w:t>
      </w:r>
    </w:p>
    <w:p w:rsidR="001C6241" w:rsidRDefault="00E07D6F">
      <w:pPr>
        <w:pStyle w:val="ColorfulList-Accent11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Předložit objednateli k posouzení složení týmu auditorů v rámci plánu auditu nejpozději před </w:t>
      </w:r>
      <w:r>
        <w:rPr>
          <w:rStyle w:val="dn"/>
          <w:sz w:val="20"/>
          <w:szCs w:val="20"/>
          <w:lang w:val="de-DE"/>
        </w:rPr>
        <w:t>zah</w:t>
      </w:r>
      <w:r>
        <w:rPr>
          <w:rStyle w:val="dn"/>
          <w:sz w:val="20"/>
          <w:szCs w:val="20"/>
        </w:rPr>
        <w:t>ájením certifikačního auditu.</w:t>
      </w:r>
    </w:p>
    <w:p w:rsidR="001C6241" w:rsidRDefault="00E07D6F">
      <w:pPr>
        <w:pStyle w:val="ColorfulList-Accent11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Poskytnout objednateli plnění dle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smlouvy podle pravidel postupů, uvedený</w:t>
      </w:r>
      <w:r>
        <w:rPr>
          <w:rStyle w:val="dn"/>
          <w:sz w:val="20"/>
          <w:szCs w:val="20"/>
          <w:lang w:val="de-DE"/>
        </w:rPr>
        <w:t>ch v</w:t>
      </w:r>
      <w:r>
        <w:rPr>
          <w:rStyle w:val="dn"/>
          <w:sz w:val="20"/>
          <w:szCs w:val="20"/>
        </w:rPr>
        <w:t> příručce managementu, a to ve sjednaný</w:t>
      </w:r>
      <w:r w:rsidRPr="00D44EC6">
        <w:rPr>
          <w:rStyle w:val="dn"/>
          <w:sz w:val="20"/>
          <w:szCs w:val="20"/>
        </w:rPr>
        <w:t>ch term</w:t>
      </w:r>
      <w:r>
        <w:rPr>
          <w:rStyle w:val="dn"/>
          <w:sz w:val="20"/>
          <w:szCs w:val="20"/>
        </w:rPr>
        <w:t>ínech. Na základě vzájemn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dohody potvrdí vykonavatel faxem, telefonicky nebo emailem aktuální termín auditu.</w:t>
      </w:r>
    </w:p>
    <w:p w:rsidR="001C6241" w:rsidRDefault="00E07D6F">
      <w:pPr>
        <w:pStyle w:val="ColorfulList-Accent11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Zachovávat mlčenlivost o informací</w:t>
      </w:r>
      <w:r>
        <w:rPr>
          <w:rStyle w:val="dn"/>
          <w:b/>
          <w:bCs/>
          <w:sz w:val="20"/>
          <w:szCs w:val="20"/>
          <w:lang w:val="de-DE"/>
        </w:rPr>
        <w:t>ch z</w:t>
      </w:r>
      <w:r>
        <w:rPr>
          <w:rStyle w:val="dn"/>
          <w:b/>
          <w:bCs/>
          <w:sz w:val="20"/>
          <w:szCs w:val="20"/>
        </w:rPr>
        <w:t>ískaný</w:t>
      </w:r>
      <w:r>
        <w:rPr>
          <w:rStyle w:val="dn"/>
          <w:b/>
          <w:bCs/>
          <w:sz w:val="20"/>
          <w:szCs w:val="20"/>
          <w:lang w:val="de-DE"/>
        </w:rPr>
        <w:t>ch b</w:t>
      </w:r>
      <w:r>
        <w:rPr>
          <w:rStyle w:val="dn"/>
          <w:b/>
          <w:bCs/>
          <w:sz w:val="20"/>
          <w:szCs w:val="20"/>
        </w:rPr>
        <w:t>ěhem auditu a bez souhlasu objednatele je nezveřejňovat</w:t>
      </w:r>
      <w:r>
        <w:rPr>
          <w:rStyle w:val="dn"/>
          <w:sz w:val="20"/>
          <w:szCs w:val="20"/>
        </w:rPr>
        <w:t>. To se netýká údajů publikovaných vykonavatelem v „Seznamu certifikovaných subjektů“.</w:t>
      </w:r>
    </w:p>
    <w:p w:rsidR="001C6241" w:rsidRDefault="00E07D6F">
      <w:pPr>
        <w:pStyle w:val="ColorfulList-Accent11"/>
        <w:numPr>
          <w:ilvl w:val="0"/>
          <w:numId w:val="15"/>
        </w:numPr>
        <w:spacing w:before="200" w:after="0" w:line="240" w:lineRule="auto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Vykonavatel je oprávně</w:t>
      </w:r>
      <w:r>
        <w:rPr>
          <w:rStyle w:val="dn"/>
          <w:sz w:val="20"/>
          <w:szCs w:val="20"/>
          <w:lang w:val="de-DE"/>
        </w:rPr>
        <w:t>n:</w:t>
      </w:r>
    </w:p>
    <w:p w:rsidR="001C6241" w:rsidRDefault="00E07D6F">
      <w:pPr>
        <w:pStyle w:val="ColorfulList-Accent1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 xml:space="preserve">Vyžadovat od objednatele poskytnutí všech podkladů </w:t>
      </w:r>
      <w:r w:rsidRPr="00D44EC6">
        <w:rPr>
          <w:rStyle w:val="dn"/>
          <w:sz w:val="20"/>
          <w:szCs w:val="20"/>
        </w:rPr>
        <w:t>a dal</w:t>
      </w:r>
      <w:r>
        <w:rPr>
          <w:rStyle w:val="dn"/>
          <w:sz w:val="20"/>
          <w:szCs w:val="20"/>
        </w:rPr>
        <w:t>ší potřebn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součinnosti nezbytn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pro splnění smlouvy.</w:t>
      </w:r>
    </w:p>
    <w:p w:rsidR="001C6241" w:rsidRDefault="00E07D6F">
      <w:pPr>
        <w:pStyle w:val="ColorfulList-Accent1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Certifikační orgán – vykonavatel je oprávněn odstoupit od smlouvy a zrušit platnost certifikátu a vyfakturovat objednateli případná dílčí plnění, pokud objednatel nezaplatí řádně a včas sjednanou úhradu nebo nezaplatí-li včas sjednanou zálohu nebo neposkytne-li mu objednatel ve lhůtě stanoven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certifikačním orgánem vyžádan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dokumenty, údaje a informace pro posouzení splnění certifikační</w:t>
      </w:r>
      <w:r>
        <w:rPr>
          <w:rStyle w:val="dn"/>
          <w:sz w:val="20"/>
          <w:szCs w:val="20"/>
          <w:lang w:val="sv-SE"/>
        </w:rPr>
        <w:t>ch krit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rií.</w:t>
      </w:r>
    </w:p>
    <w:p w:rsidR="001C6241" w:rsidRDefault="00E07D6F">
      <w:pPr>
        <w:pStyle w:val="ColorfulList-Accent1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 xml:space="preserve">Zrušit platnost certifikátu v případě, že objednatel neplní certifikační </w:t>
      </w:r>
      <w:r>
        <w:rPr>
          <w:rStyle w:val="dn"/>
          <w:sz w:val="20"/>
          <w:szCs w:val="20"/>
          <w:lang w:val="de-DE"/>
        </w:rPr>
        <w:t>krit</w:t>
      </w:r>
      <w:r>
        <w:rPr>
          <w:rStyle w:val="dn"/>
          <w:sz w:val="20"/>
          <w:szCs w:val="20"/>
          <w:lang w:val="fr-FR"/>
        </w:rPr>
        <w:t>é</w:t>
      </w:r>
      <w:r w:rsidRPr="003A0DFA">
        <w:rPr>
          <w:rStyle w:val="dn"/>
          <w:sz w:val="20"/>
          <w:szCs w:val="20"/>
        </w:rPr>
        <w:t>ria.</w:t>
      </w:r>
    </w:p>
    <w:p w:rsidR="001C6241" w:rsidRDefault="001C6241">
      <w:pPr>
        <w:pStyle w:val="ColorfulList-Accent11"/>
        <w:spacing w:after="0"/>
        <w:jc w:val="both"/>
        <w:rPr>
          <w:rStyle w:val="dn"/>
          <w:sz w:val="20"/>
          <w:szCs w:val="20"/>
        </w:rPr>
      </w:pPr>
    </w:p>
    <w:p w:rsidR="001C6241" w:rsidRDefault="001C6241">
      <w:pPr>
        <w:pStyle w:val="ColorfulList-Accent11"/>
        <w:spacing w:after="0"/>
        <w:jc w:val="both"/>
        <w:rPr>
          <w:rStyle w:val="dn"/>
          <w:sz w:val="20"/>
          <w:szCs w:val="20"/>
        </w:rPr>
      </w:pPr>
    </w:p>
    <w:p w:rsidR="003A0DFA" w:rsidRDefault="003A0DFA">
      <w:pPr>
        <w:pStyle w:val="ColorfulList-Accent11"/>
        <w:spacing w:after="0"/>
        <w:jc w:val="both"/>
        <w:rPr>
          <w:rStyle w:val="dn"/>
          <w:sz w:val="20"/>
          <w:szCs w:val="20"/>
        </w:rPr>
      </w:pPr>
    </w:p>
    <w:p w:rsidR="001C6241" w:rsidRDefault="001C6241">
      <w:pPr>
        <w:pStyle w:val="ColorfulList-Accent11"/>
        <w:spacing w:after="0"/>
        <w:ind w:left="0"/>
        <w:rPr>
          <w:rStyle w:val="dn"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lastRenderedPageBreak/>
        <w:t>Č</w:t>
      </w:r>
      <w:r>
        <w:rPr>
          <w:rStyle w:val="dn"/>
          <w:b/>
          <w:bCs/>
          <w:sz w:val="20"/>
          <w:szCs w:val="20"/>
          <w:lang w:val="de-DE"/>
        </w:rPr>
        <w:t>l. IV. Krit</w:t>
      </w:r>
      <w:r>
        <w:rPr>
          <w:rStyle w:val="dn"/>
          <w:b/>
          <w:bCs/>
          <w:sz w:val="20"/>
          <w:szCs w:val="20"/>
          <w:lang w:val="fr-FR"/>
        </w:rPr>
        <w:t>é</w:t>
      </w:r>
      <w:r>
        <w:rPr>
          <w:rStyle w:val="dn"/>
          <w:b/>
          <w:bCs/>
          <w:sz w:val="20"/>
          <w:szCs w:val="20"/>
          <w:lang w:val="pt-PT"/>
        </w:rPr>
        <w:t>ria pou</w:t>
      </w:r>
      <w:r>
        <w:rPr>
          <w:rStyle w:val="dn"/>
          <w:b/>
          <w:bCs/>
          <w:sz w:val="20"/>
          <w:szCs w:val="20"/>
        </w:rPr>
        <w:t>žívání certifikátu (certifikačních značek)</w:t>
      </w:r>
    </w:p>
    <w:p w:rsidR="001C6241" w:rsidRDefault="00E07D6F">
      <w:pPr>
        <w:pStyle w:val="ColorfulList-Accent11"/>
        <w:spacing w:after="0"/>
        <w:ind w:left="0" w:firstLine="426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Certifikát (tam, kde je to vhodn</w:t>
      </w:r>
      <w:r>
        <w:rPr>
          <w:rStyle w:val="dn"/>
          <w:b/>
          <w:bCs/>
          <w:sz w:val="20"/>
          <w:szCs w:val="20"/>
          <w:lang w:val="fr-FR"/>
        </w:rPr>
        <w:t>é</w:t>
      </w:r>
      <w:r>
        <w:rPr>
          <w:rStyle w:val="dn"/>
          <w:b/>
          <w:bCs/>
          <w:sz w:val="20"/>
          <w:szCs w:val="20"/>
        </w:rPr>
        <w:t>) může bý</w:t>
      </w:r>
      <w:r>
        <w:rPr>
          <w:rStyle w:val="dn"/>
          <w:b/>
          <w:bCs/>
          <w:sz w:val="20"/>
          <w:szCs w:val="20"/>
          <w:lang w:val="fr-FR"/>
        </w:rPr>
        <w:t>t pou</w:t>
      </w:r>
      <w:r>
        <w:rPr>
          <w:rStyle w:val="dn"/>
          <w:b/>
          <w:bCs/>
          <w:sz w:val="20"/>
          <w:szCs w:val="20"/>
        </w:rPr>
        <w:t>žit pouze: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se jm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nem certifikovan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organizace (divize)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s </w:t>
      </w:r>
      <w:r w:rsidRPr="003A0DFA">
        <w:rPr>
          <w:rStyle w:val="dn"/>
          <w:sz w:val="20"/>
          <w:szCs w:val="20"/>
          <w:lang w:val="en-US"/>
        </w:rPr>
        <w:t>registra</w:t>
      </w:r>
      <w:r>
        <w:rPr>
          <w:rStyle w:val="dn"/>
          <w:sz w:val="20"/>
          <w:szCs w:val="20"/>
        </w:rPr>
        <w:t>čním čí</w:t>
      </w:r>
      <w:r>
        <w:rPr>
          <w:rStyle w:val="dn"/>
          <w:sz w:val="20"/>
          <w:szCs w:val="20"/>
          <w:lang w:val="pt-PT"/>
        </w:rPr>
        <w:t>slem certifik</w:t>
      </w:r>
      <w:r>
        <w:rPr>
          <w:rStyle w:val="dn"/>
          <w:sz w:val="20"/>
          <w:szCs w:val="20"/>
        </w:rPr>
        <w:t>átu (nezávazn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)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s odkazem na pří</w:t>
      </w:r>
      <w:r>
        <w:rPr>
          <w:rStyle w:val="dn"/>
          <w:sz w:val="20"/>
          <w:szCs w:val="20"/>
          <w:lang w:val="da-DK"/>
        </w:rPr>
        <w:t>slu</w:t>
      </w:r>
      <w:r>
        <w:rPr>
          <w:rStyle w:val="dn"/>
          <w:sz w:val="20"/>
          <w:szCs w:val="20"/>
        </w:rPr>
        <w:t>šnou normu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v rámci certifikovan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rozsahu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certifikovanou organizací (první legální vlastník)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bez jakýchkoliv úprav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v původních barvách, přičemž je možno upravovat velikost při zachování poměru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v dokumentech, vývěsní</w:t>
      </w:r>
      <w:r>
        <w:rPr>
          <w:rStyle w:val="dn"/>
          <w:sz w:val="20"/>
          <w:szCs w:val="20"/>
          <w:lang w:val="de-DE"/>
        </w:rPr>
        <w:t xml:space="preserve">ch </w:t>
      </w:r>
      <w:r>
        <w:rPr>
          <w:rStyle w:val="dn"/>
          <w:sz w:val="20"/>
          <w:szCs w:val="20"/>
        </w:rPr>
        <w:t>štítech, výkladech a propagační</w:t>
      </w:r>
      <w:r>
        <w:rPr>
          <w:rStyle w:val="dn"/>
          <w:sz w:val="20"/>
          <w:szCs w:val="20"/>
          <w:lang w:val="de-DE"/>
        </w:rPr>
        <w:t>ch m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diích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ve všeobecných firemních dokumentech s jasným popisem rozsahu certifikace</w:t>
      </w:r>
    </w:p>
    <w:p w:rsidR="001C6241" w:rsidRDefault="00E07D6F">
      <w:pPr>
        <w:pStyle w:val="ColorfulList-Accent1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rStyle w:val="dn"/>
          <w:sz w:val="20"/>
          <w:szCs w:val="20"/>
        </w:rPr>
        <w:t>certifikačních značek nesmí bý</w:t>
      </w:r>
      <w:r>
        <w:rPr>
          <w:rStyle w:val="dn"/>
          <w:sz w:val="20"/>
          <w:szCs w:val="20"/>
          <w:lang w:val="fr-FR"/>
        </w:rPr>
        <w:t>t pou</w:t>
      </w:r>
      <w:r>
        <w:rPr>
          <w:rStyle w:val="dn"/>
          <w:sz w:val="20"/>
          <w:szCs w:val="20"/>
        </w:rPr>
        <w:t>žito v protokolech o zkouškách, kalibračních listech nebo inspekčních certifikátech</w:t>
      </w:r>
    </w:p>
    <w:p w:rsidR="001C6241" w:rsidRDefault="001C6241">
      <w:pPr>
        <w:pStyle w:val="ColorfulList-Accent11"/>
        <w:spacing w:after="0"/>
        <w:ind w:left="0"/>
        <w:rPr>
          <w:rStyle w:val="dn"/>
          <w:b/>
          <w:bCs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Čl. V. Cena</w:t>
      </w:r>
    </w:p>
    <w:p w:rsidR="001C6241" w:rsidRDefault="00E07D6F">
      <w:pPr>
        <w:spacing w:before="120" w:after="120" w:line="240" w:lineRule="auto"/>
        <w:ind w:left="992" w:hanging="567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Cena za vykonanou kontrolní činnost je stanovena takto:</w:t>
      </w:r>
    </w:p>
    <w:tbl>
      <w:tblPr>
        <w:tblStyle w:val="TableNormal"/>
        <w:tblW w:w="9492" w:type="dxa"/>
        <w:tblInd w:w="7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04"/>
        <w:gridCol w:w="1795"/>
        <w:gridCol w:w="1893"/>
      </w:tblGrid>
      <w:tr w:rsidR="001C6241">
        <w:trPr>
          <w:trHeight w:val="228"/>
        </w:trPr>
        <w:tc>
          <w:tcPr>
            <w:tcW w:w="5804" w:type="dxa"/>
            <w:tcBorders>
              <w:top w:val="nil"/>
              <w:left w:val="single" w:sz="2" w:space="0" w:color="FF0000"/>
              <w:bottom w:val="single" w:sz="2" w:space="0" w:color="FF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2" w:type="dxa"/>
            </w:tcMar>
            <w:vAlign w:val="bottom"/>
          </w:tcPr>
          <w:p w:rsidR="001C6241" w:rsidRDefault="00E07D6F">
            <w:pPr>
              <w:spacing w:after="120" w:line="240" w:lineRule="auto"/>
              <w:ind w:right="302"/>
            </w:pPr>
            <w:r>
              <w:rPr>
                <w:rStyle w:val="dn"/>
                <w:b/>
                <w:bCs/>
                <w:color w:val="FF0000"/>
                <w:sz w:val="20"/>
                <w:szCs w:val="20"/>
                <w:u w:color="FF0000"/>
              </w:rPr>
              <w:t xml:space="preserve">Národní divadlo, p.o.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FF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C6241" w:rsidRDefault="00E07D6F">
            <w:pPr>
              <w:spacing w:after="120" w:line="240" w:lineRule="auto"/>
              <w:jc w:val="right"/>
            </w:pPr>
            <w:r>
              <w:rPr>
                <w:rStyle w:val="dn"/>
                <w:b/>
                <w:bCs/>
                <w:color w:val="FF0000"/>
                <w:sz w:val="20"/>
                <w:szCs w:val="20"/>
                <w:u w:color="FF0000"/>
              </w:rPr>
              <w:t>Cena v CZK: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2" w:space="0" w:color="FF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2" w:type="dxa"/>
            </w:tcMar>
            <w:vAlign w:val="bottom"/>
          </w:tcPr>
          <w:p w:rsidR="001C6241" w:rsidRDefault="00E07D6F">
            <w:pPr>
              <w:spacing w:after="120" w:line="240" w:lineRule="auto"/>
              <w:ind w:right="302"/>
              <w:jc w:val="right"/>
            </w:pPr>
            <w:r>
              <w:rPr>
                <w:rStyle w:val="dn"/>
                <w:b/>
                <w:bCs/>
                <w:color w:val="FF0000"/>
                <w:sz w:val="20"/>
                <w:szCs w:val="20"/>
                <w:u w:color="FF0000"/>
              </w:rPr>
              <w:t>Poznámka:</w:t>
            </w:r>
          </w:p>
        </w:tc>
      </w:tr>
      <w:tr w:rsidR="001C6241">
        <w:trPr>
          <w:trHeight w:val="613"/>
        </w:trPr>
        <w:tc>
          <w:tcPr>
            <w:tcW w:w="5804" w:type="dxa"/>
            <w:tcBorders>
              <w:top w:val="single" w:sz="2" w:space="0" w:color="FF0000"/>
              <w:left w:val="single" w:sz="2" w:space="0" w:color="FF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6241" w:rsidRDefault="00D36EC6">
            <w:pPr>
              <w:pStyle w:val="ColorfulList-Accent11"/>
              <w:tabs>
                <w:tab w:val="left" w:pos="1914"/>
              </w:tabs>
              <w:spacing w:after="0" w:line="240" w:lineRule="auto"/>
              <w:ind w:left="0"/>
            </w:pPr>
            <w:r>
              <w:rPr>
                <w:rStyle w:val="dn"/>
                <w:b/>
                <w:bCs/>
                <w:sz w:val="20"/>
                <w:szCs w:val="20"/>
              </w:rPr>
              <w:t>Re-certifikační</w:t>
            </w:r>
            <w:r w:rsidR="00E07D6F">
              <w:rPr>
                <w:rStyle w:val="dn"/>
                <w:b/>
                <w:bCs/>
                <w:sz w:val="20"/>
                <w:szCs w:val="20"/>
              </w:rPr>
              <w:t xml:space="preserve"> audit</w:t>
            </w:r>
            <w:r w:rsidR="00E07D6F">
              <w:rPr>
                <w:rStyle w:val="dn"/>
                <w:sz w:val="20"/>
                <w:szCs w:val="20"/>
              </w:rPr>
              <w:br/>
              <w:t>ISO 50001:2018 Energy Management System</w:t>
            </w:r>
          </w:p>
        </w:tc>
        <w:tc>
          <w:tcPr>
            <w:tcW w:w="1795" w:type="dxa"/>
            <w:tcBorders>
              <w:top w:val="single" w:sz="2" w:space="0" w:color="FF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6241" w:rsidRPr="007B70CA" w:rsidRDefault="00ED3DF5">
            <w:pPr>
              <w:spacing w:after="0" w:line="240" w:lineRule="auto"/>
              <w:jc w:val="right"/>
              <w:rPr>
                <w:b/>
              </w:rPr>
            </w:pPr>
            <w:r w:rsidRPr="007B70CA">
              <w:rPr>
                <w:rStyle w:val="dn"/>
                <w:b/>
                <w:sz w:val="20"/>
                <w:szCs w:val="20"/>
              </w:rPr>
              <w:t>54</w:t>
            </w:r>
            <w:r w:rsidR="00E07D6F" w:rsidRPr="007B70CA">
              <w:rPr>
                <w:rStyle w:val="dn"/>
                <w:b/>
                <w:sz w:val="20"/>
                <w:szCs w:val="20"/>
              </w:rPr>
              <w:t>.</w:t>
            </w:r>
            <w:r w:rsidRPr="007B70CA">
              <w:rPr>
                <w:rStyle w:val="dn"/>
                <w:b/>
                <w:sz w:val="20"/>
                <w:szCs w:val="20"/>
              </w:rPr>
              <w:t>6</w:t>
            </w:r>
            <w:r w:rsidR="00E07D6F" w:rsidRPr="007B70CA">
              <w:rPr>
                <w:rStyle w:val="dn"/>
                <w:b/>
                <w:sz w:val="20"/>
                <w:szCs w:val="20"/>
              </w:rPr>
              <w:t>00,-</w:t>
            </w:r>
          </w:p>
        </w:tc>
        <w:tc>
          <w:tcPr>
            <w:tcW w:w="1893" w:type="dxa"/>
            <w:tcBorders>
              <w:top w:val="single" w:sz="2" w:space="0" w:color="FF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4" w:type="dxa"/>
            </w:tcMar>
            <w:vAlign w:val="center"/>
          </w:tcPr>
          <w:p w:rsidR="001C6241" w:rsidRPr="007B70CA" w:rsidRDefault="00E07D6F">
            <w:pPr>
              <w:spacing w:after="0" w:line="240" w:lineRule="auto"/>
              <w:ind w:right="214" w:firstLine="71"/>
              <w:jc w:val="right"/>
              <w:rPr>
                <w:b/>
              </w:rPr>
            </w:pPr>
            <w:r w:rsidRPr="007B70CA">
              <w:rPr>
                <w:rStyle w:val="dn"/>
                <w:b/>
                <w:sz w:val="20"/>
                <w:szCs w:val="20"/>
              </w:rPr>
              <w:t>září 202</w:t>
            </w:r>
            <w:r w:rsidR="00ED3DF5" w:rsidRPr="007B70CA">
              <w:rPr>
                <w:rStyle w:val="dn"/>
                <w:b/>
                <w:sz w:val="20"/>
                <w:szCs w:val="20"/>
              </w:rPr>
              <w:t>5</w:t>
            </w:r>
          </w:p>
        </w:tc>
      </w:tr>
    </w:tbl>
    <w:p w:rsidR="001C6241" w:rsidRDefault="001C6241">
      <w:pPr>
        <w:widowControl w:val="0"/>
        <w:spacing w:before="120" w:after="120" w:line="240" w:lineRule="auto"/>
        <w:ind w:left="501" w:hanging="501"/>
        <w:rPr>
          <w:rStyle w:val="dn"/>
          <w:sz w:val="20"/>
          <w:szCs w:val="20"/>
        </w:rPr>
      </w:pPr>
    </w:p>
    <w:p w:rsidR="001C6241" w:rsidRDefault="001C6241">
      <w:pPr>
        <w:spacing w:after="0" w:line="240" w:lineRule="auto"/>
        <w:jc w:val="both"/>
        <w:rPr>
          <w:rStyle w:val="dn"/>
          <w:sz w:val="20"/>
          <w:szCs w:val="20"/>
        </w:rPr>
      </w:pPr>
    </w:p>
    <w:p w:rsidR="001C6241" w:rsidRDefault="00E07D6F">
      <w:pPr>
        <w:spacing w:before="80" w:after="0" w:line="240" w:lineRule="auto"/>
        <w:ind w:left="425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Dále je k uvedený</w:t>
      </w:r>
      <w:r>
        <w:rPr>
          <w:rStyle w:val="dn"/>
          <w:sz w:val="20"/>
          <w:szCs w:val="20"/>
          <w:lang w:val="pt-PT"/>
        </w:rPr>
        <w:t>m cen</w:t>
      </w:r>
      <w:r>
        <w:rPr>
          <w:rStyle w:val="dn"/>
          <w:sz w:val="20"/>
          <w:szCs w:val="20"/>
        </w:rPr>
        <w:t>ám účtováno cestovn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 xml:space="preserve">ve výši </w:t>
      </w:r>
      <w:r w:rsidR="00D36EC6">
        <w:rPr>
          <w:rStyle w:val="dn"/>
          <w:sz w:val="20"/>
          <w:szCs w:val="20"/>
        </w:rPr>
        <w:t>10</w:t>
      </w:r>
      <w:r>
        <w:rPr>
          <w:rStyle w:val="dn"/>
          <w:sz w:val="20"/>
          <w:szCs w:val="20"/>
        </w:rPr>
        <w:t>Kč/km v případě nutnosti výjezdu auditorů do mimopražských lokalit a náklady na případn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ubytování (podle skutečně vynaložených nákladů - dle kopie účtu ubytovacího zařízení.</w:t>
      </w:r>
    </w:p>
    <w:p w:rsidR="001C6241" w:rsidRDefault="00E07D6F">
      <w:pPr>
        <w:spacing w:before="120" w:after="0" w:line="240" w:lineRule="auto"/>
        <w:ind w:left="425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V cenách je zahrnutý </w:t>
      </w:r>
      <w:r w:rsidRPr="003A0DFA">
        <w:rPr>
          <w:rStyle w:val="dn"/>
          <w:sz w:val="20"/>
          <w:szCs w:val="20"/>
        </w:rPr>
        <w:t>registra</w:t>
      </w:r>
      <w:r>
        <w:rPr>
          <w:rStyle w:val="dn"/>
          <w:sz w:val="20"/>
          <w:szCs w:val="20"/>
        </w:rPr>
        <w:t>ční poplatek ve výši 85 Euro na jeden certifikovaný 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m, který zahrnuje registraci certifikovan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syst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 xml:space="preserve">mu organizace v mezinárodní </w:t>
      </w:r>
      <w:r>
        <w:rPr>
          <w:rStyle w:val="dn"/>
          <w:sz w:val="20"/>
          <w:szCs w:val="20"/>
          <w:lang w:val="nl-NL"/>
        </w:rPr>
        <w:t>datab</w:t>
      </w:r>
      <w:r>
        <w:rPr>
          <w:rStyle w:val="dn"/>
          <w:sz w:val="20"/>
          <w:szCs w:val="20"/>
        </w:rPr>
        <w:t>ázi TAYLLORCOX a vydání 1 </w:t>
      </w:r>
      <w:r w:rsidRPr="003A0DFA">
        <w:rPr>
          <w:rStyle w:val="dn"/>
          <w:sz w:val="20"/>
          <w:szCs w:val="20"/>
        </w:rPr>
        <w:t>origin</w:t>
      </w:r>
      <w:r>
        <w:rPr>
          <w:rStyle w:val="dn"/>
          <w:sz w:val="20"/>
          <w:szCs w:val="20"/>
        </w:rPr>
        <w:t>álního certifikátu v anglick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a v česk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jazykov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 xml:space="preserve">verzi zdarma. Každá </w:t>
      </w:r>
      <w:r w:rsidRPr="003A0DFA">
        <w:rPr>
          <w:rStyle w:val="dn"/>
          <w:sz w:val="20"/>
          <w:szCs w:val="20"/>
        </w:rPr>
        <w:t>dal</w:t>
      </w:r>
      <w:r>
        <w:rPr>
          <w:rStyle w:val="dn"/>
          <w:sz w:val="20"/>
          <w:szCs w:val="20"/>
        </w:rPr>
        <w:t>ší jazyková mutace certifikátu (1 originál a 1 duplikát) je zpoplatněna částkou 85 Euro*.</w:t>
      </w:r>
    </w:p>
    <w:p w:rsidR="001C6241" w:rsidRDefault="00E07D6F">
      <w:pPr>
        <w:spacing w:before="80" w:after="0" w:line="240" w:lineRule="auto"/>
        <w:ind w:left="425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Částky v Euro budou fakturovány přepočtem kurzem "devizy-prodej" dle ČNB platným v den fakturace + 21% DPH.</w:t>
      </w:r>
    </w:p>
    <w:p w:rsidR="001C6241" w:rsidRDefault="00E07D6F">
      <w:pPr>
        <w:spacing w:before="80" w:after="0" w:line="240" w:lineRule="auto"/>
        <w:ind w:left="425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Objednatel se zavazuje uhradit vykonavateli v souladu se zákonem č</w:t>
      </w:r>
      <w:r>
        <w:rPr>
          <w:rStyle w:val="dn"/>
          <w:sz w:val="20"/>
          <w:szCs w:val="20"/>
          <w:lang w:val="pt-PT"/>
        </w:rPr>
        <w:t>. 526/1990 Sb O cen</w:t>
      </w:r>
      <w:r>
        <w:rPr>
          <w:rStyle w:val="dn"/>
          <w:sz w:val="20"/>
          <w:szCs w:val="20"/>
        </w:rPr>
        <w:t>ách smluvní cenu + DPH dle platných právních předpisů za provedení činností v rozsahu předmětu podle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 xml:space="preserve">to smlouvy. </w:t>
      </w:r>
    </w:p>
    <w:p w:rsidR="001C6241" w:rsidRDefault="00E07D6F">
      <w:pPr>
        <w:spacing w:before="80" w:after="0" w:line="240" w:lineRule="auto"/>
        <w:ind w:left="425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Vykonavatel si vyhrazuje prá</w:t>
      </w:r>
      <w:r w:rsidRPr="003A0DFA">
        <w:rPr>
          <w:rStyle w:val="dn"/>
          <w:sz w:val="20"/>
          <w:szCs w:val="20"/>
        </w:rPr>
        <w:t xml:space="preserve">vo </w:t>
      </w:r>
      <w:r>
        <w:rPr>
          <w:rStyle w:val="dn"/>
          <w:sz w:val="20"/>
          <w:szCs w:val="20"/>
        </w:rPr>
        <w:t>úpravy cen pro případné podstatn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změny v rozsahu, velikosti, činnosti nebo vnitřní organizaci objednatele. Dopady změn na cenu za činnost vykonavatele dle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smlouvy budou řešeny samostatným písemným dodatkem k 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smlouvě.</w:t>
      </w:r>
    </w:p>
    <w:p w:rsidR="001C6241" w:rsidRDefault="001C6241">
      <w:pPr>
        <w:spacing w:before="80" w:after="0" w:line="240" w:lineRule="auto"/>
        <w:ind w:left="425"/>
        <w:jc w:val="both"/>
        <w:rPr>
          <w:rStyle w:val="dn"/>
          <w:sz w:val="20"/>
          <w:szCs w:val="20"/>
        </w:rPr>
      </w:pPr>
    </w:p>
    <w:p w:rsidR="001C6241" w:rsidRDefault="001C6241">
      <w:pPr>
        <w:pStyle w:val="ColorfulList-Accent11"/>
        <w:spacing w:after="0" w:line="240" w:lineRule="auto"/>
        <w:ind w:left="426"/>
        <w:rPr>
          <w:rStyle w:val="dn"/>
          <w:b/>
          <w:bCs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 xml:space="preserve">Čl. VI. Platební podmínky </w:t>
      </w:r>
    </w:p>
    <w:p w:rsidR="001C6241" w:rsidRDefault="001C6241">
      <w:pPr>
        <w:spacing w:after="0"/>
        <w:ind w:left="426"/>
        <w:jc w:val="both"/>
        <w:rPr>
          <w:rStyle w:val="dn"/>
          <w:sz w:val="20"/>
          <w:szCs w:val="20"/>
        </w:rPr>
      </w:pPr>
    </w:p>
    <w:p w:rsidR="001C6241" w:rsidRDefault="00E07D6F">
      <w:pPr>
        <w:spacing w:after="0"/>
        <w:ind w:left="426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Daňový doklad bude vystaven až po ukončení jednotlivých auditů. Platbu provede objednatel bezhotovostním převodem. Jako variabilní symbol platby se uvede číslo faktury.</w:t>
      </w:r>
    </w:p>
    <w:p w:rsidR="001C6241" w:rsidRDefault="00E07D6F">
      <w:pPr>
        <w:spacing w:after="0"/>
        <w:ind w:left="426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Dále se objednatel zavazuje zaplatit v případě prodlení s úhradou faktury úrok z prodlení v zákonn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výši za každý započatý den prodlení z dlužné částky a dále uhradit v pln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výši prokazatelnou škodu, která tímto prodlením vykonavateli vznikne.</w:t>
      </w:r>
    </w:p>
    <w:p w:rsidR="001C6241" w:rsidRDefault="00E07D6F">
      <w:pPr>
        <w:spacing w:after="0"/>
        <w:ind w:left="426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Doba splatnosti uvedená </w:t>
      </w:r>
      <w:r>
        <w:rPr>
          <w:rStyle w:val="dn"/>
          <w:sz w:val="20"/>
          <w:szCs w:val="20"/>
          <w:lang w:val="sv-SE"/>
        </w:rPr>
        <w:t>na faktu</w:t>
      </w:r>
      <w:r>
        <w:rPr>
          <w:rStyle w:val="dn"/>
          <w:sz w:val="20"/>
          <w:szCs w:val="20"/>
        </w:rPr>
        <w:t>ře je 14 dnů od doručení faktury objednateli.</w:t>
      </w:r>
    </w:p>
    <w:p w:rsidR="001C6241" w:rsidRDefault="001C6241">
      <w:pPr>
        <w:spacing w:after="0"/>
        <w:ind w:left="426"/>
        <w:jc w:val="both"/>
        <w:rPr>
          <w:rStyle w:val="dn"/>
          <w:sz w:val="20"/>
          <w:szCs w:val="20"/>
        </w:rPr>
      </w:pPr>
    </w:p>
    <w:p w:rsidR="001C6241" w:rsidRDefault="001C6241">
      <w:pPr>
        <w:spacing w:after="0"/>
        <w:ind w:left="426"/>
        <w:jc w:val="both"/>
        <w:rPr>
          <w:rStyle w:val="dn"/>
          <w:sz w:val="20"/>
          <w:szCs w:val="20"/>
        </w:rPr>
      </w:pPr>
    </w:p>
    <w:p w:rsidR="001C6241" w:rsidRDefault="00E07D6F">
      <w:pPr>
        <w:pStyle w:val="ColorfulList-Accent11"/>
        <w:spacing w:after="0" w:line="240" w:lineRule="auto"/>
        <w:ind w:left="360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Čl. VII. Závěrečná ustanovení</w:t>
      </w:r>
    </w:p>
    <w:p w:rsidR="001C6241" w:rsidRDefault="001C6241">
      <w:pPr>
        <w:pStyle w:val="ColorfulList-Accent11"/>
        <w:spacing w:after="0"/>
        <w:ind w:left="851"/>
        <w:jc w:val="both"/>
        <w:rPr>
          <w:rStyle w:val="dn"/>
          <w:sz w:val="20"/>
          <w:szCs w:val="20"/>
        </w:rPr>
      </w:pPr>
    </w:p>
    <w:p w:rsidR="001C6241" w:rsidRDefault="00E07D6F">
      <w:pPr>
        <w:pStyle w:val="ColorfulList-Accent11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Vyskytnou-li se v průběhu plnění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smlouvy skutečnosti, kter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"/>
          <w:sz w:val="20"/>
          <w:szCs w:val="20"/>
        </w:rPr>
        <w:t>nebyly smluvním stranám známy při uzavření smlouvy nebo jak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koliv změny a doplňky, budou řešeny písemným dodatkem k 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to smlouvě. Dodatek nabývá platnosti po podepsání oběma smluvními stranami.</w:t>
      </w:r>
    </w:p>
    <w:p w:rsidR="001C6241" w:rsidRDefault="00E07D6F">
      <w:pPr>
        <w:pStyle w:val="ColorfulList-Accent11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Práva a povinnosti smluvních stran, která nejsou ve smlouvě výslovně upravena, se řídí zákonem dle obč</w:t>
      </w:r>
      <w:r>
        <w:rPr>
          <w:rStyle w:val="dn"/>
          <w:sz w:val="20"/>
          <w:szCs w:val="20"/>
          <w:lang w:val="da-DK"/>
        </w:rPr>
        <w:t>ansk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</w:rPr>
        <w:t>ho zákoníku č. 89/2012 Sb.</w:t>
      </w:r>
    </w:p>
    <w:p w:rsidR="001C6241" w:rsidRDefault="00E07D6F">
      <w:pPr>
        <w:pStyle w:val="ColorfulList-Accent11"/>
        <w:numPr>
          <w:ilvl w:val="0"/>
          <w:numId w:val="21"/>
        </w:numPr>
        <w:spacing w:after="0"/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Objednatel bere na vědomí, že do doby zaplacení certifikačního / re-certifikačního auditu a souvisejících poplatků nebude certifikát vydán.</w:t>
      </w:r>
    </w:p>
    <w:p w:rsidR="00BB2942" w:rsidRPr="00BB2942" w:rsidRDefault="00BB2942" w:rsidP="00BB294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cs="Calibri"/>
          <w:sz w:val="20"/>
          <w:szCs w:val="20"/>
        </w:rPr>
      </w:pPr>
      <w:r w:rsidRPr="00BB2942">
        <w:rPr>
          <w:rFonts w:cs="Calibri"/>
          <w:sz w:val="20"/>
          <w:szCs w:val="20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objednatel.  </w:t>
      </w:r>
    </w:p>
    <w:p w:rsidR="00BB2942" w:rsidRPr="00BB2942" w:rsidRDefault="00BB2942" w:rsidP="00BB294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cs="Calibri"/>
          <w:sz w:val="20"/>
          <w:szCs w:val="20"/>
        </w:rPr>
      </w:pPr>
      <w:r w:rsidRPr="00BB2942">
        <w:rPr>
          <w:rFonts w:cs="Calibri"/>
          <w:sz w:val="20"/>
          <w:szCs w:val="20"/>
        </w:rPr>
        <w:t>Tato smlouva nabývá platnosti dnem podpisu obou smluvních stran a účinnosti dnem jejího uveřejnění v Registru smluv ve smyslu zákona č. 340/2015 Sb.</w:t>
      </w:r>
    </w:p>
    <w:p w:rsidR="001C6241" w:rsidRDefault="00E07D6F">
      <w:pPr>
        <w:pStyle w:val="ColorfulList-Accent11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bookmarkStart w:id="0" w:name="_GoBack"/>
      <w:bookmarkEnd w:id="0"/>
      <w:r>
        <w:rPr>
          <w:rStyle w:val="dn"/>
          <w:sz w:val="20"/>
          <w:szCs w:val="20"/>
        </w:rPr>
        <w:t>Objednatel souhlasí se zasílání</w:t>
      </w:r>
      <w:r>
        <w:rPr>
          <w:rStyle w:val="dn"/>
          <w:sz w:val="20"/>
          <w:szCs w:val="20"/>
          <w:lang w:val="pt-PT"/>
        </w:rPr>
        <w:t>m da</w:t>
      </w:r>
      <w:r>
        <w:rPr>
          <w:rStyle w:val="dn"/>
          <w:sz w:val="20"/>
          <w:szCs w:val="20"/>
        </w:rPr>
        <w:t>ňových dokladů (faktur) a zpráv z auditů elektronicky.</w:t>
      </w:r>
    </w:p>
    <w:p w:rsidR="001C6241" w:rsidRDefault="00E07D6F">
      <w:pPr>
        <w:pStyle w:val="ColorfulList-Accent11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>Tato smlouva je sepsána ve dvou vyhotoveních, která mají stejnou platnost.</w:t>
      </w:r>
    </w:p>
    <w:p w:rsidR="001C6241" w:rsidRDefault="001C6241">
      <w:pPr>
        <w:pStyle w:val="ColorfulList-Accent11"/>
        <w:spacing w:after="0"/>
        <w:ind w:left="709"/>
        <w:jc w:val="both"/>
        <w:rPr>
          <w:rStyle w:val="dn"/>
          <w:sz w:val="20"/>
          <w:szCs w:val="20"/>
        </w:rPr>
      </w:pPr>
    </w:p>
    <w:p w:rsidR="001C6241" w:rsidRDefault="001C6241">
      <w:pPr>
        <w:spacing w:after="0"/>
        <w:ind w:left="709"/>
        <w:rPr>
          <w:rStyle w:val="dn"/>
          <w:sz w:val="20"/>
          <w:szCs w:val="20"/>
        </w:rPr>
      </w:pPr>
    </w:p>
    <w:tbl>
      <w:tblPr>
        <w:tblStyle w:val="TableNormal"/>
        <w:tblW w:w="8755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9"/>
        <w:gridCol w:w="850"/>
        <w:gridCol w:w="3686"/>
      </w:tblGrid>
      <w:tr w:rsidR="001C6241">
        <w:trPr>
          <w:trHeight w:val="23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E07D6F">
            <w:pPr>
              <w:spacing w:after="0" w:line="240" w:lineRule="auto"/>
            </w:pPr>
            <w:r>
              <w:rPr>
                <w:rStyle w:val="dn"/>
                <w:sz w:val="20"/>
                <w:szCs w:val="20"/>
              </w:rPr>
              <w:t xml:space="preserve">V Praze, dne: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1C6241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E07D6F">
            <w:pPr>
              <w:spacing w:after="0" w:line="240" w:lineRule="auto"/>
            </w:pPr>
            <w:r>
              <w:rPr>
                <w:rStyle w:val="dn"/>
                <w:sz w:val="20"/>
                <w:szCs w:val="20"/>
              </w:rPr>
              <w:t>V Praze, dne:</w:t>
            </w:r>
          </w:p>
        </w:tc>
      </w:tr>
      <w:tr w:rsidR="001C6241">
        <w:trPr>
          <w:trHeight w:val="1349"/>
        </w:trPr>
        <w:tc>
          <w:tcPr>
            <w:tcW w:w="421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1C624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1C6241"/>
        </w:tc>
        <w:tc>
          <w:tcPr>
            <w:tcW w:w="368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1C6241"/>
        </w:tc>
      </w:tr>
      <w:tr w:rsidR="001C6241">
        <w:trPr>
          <w:trHeight w:val="496"/>
        </w:trPr>
        <w:tc>
          <w:tcPr>
            <w:tcW w:w="421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E07D6F">
            <w:pPr>
              <w:spacing w:before="120" w:after="120" w:line="240" w:lineRule="auto"/>
            </w:pPr>
            <w:r>
              <w:rPr>
                <w:rStyle w:val="dn"/>
                <w:b/>
                <w:bCs/>
                <w:sz w:val="20"/>
                <w:szCs w:val="20"/>
              </w:rPr>
              <w:t>Národní divadlo, p.o.</w:t>
            </w:r>
            <w:r>
              <w:rPr>
                <w:rStyle w:val="dn"/>
                <w:b/>
                <w:bCs/>
                <w:sz w:val="20"/>
                <w:szCs w:val="20"/>
              </w:rPr>
              <w:br/>
            </w:r>
            <w:r>
              <w:rPr>
                <w:rStyle w:val="dn"/>
                <w:sz w:val="20"/>
                <w:szCs w:val="20"/>
              </w:rPr>
              <w:t>Ing. Václav Pelouch, ředitel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1C6241"/>
        </w:tc>
        <w:tc>
          <w:tcPr>
            <w:tcW w:w="368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6241" w:rsidRDefault="00E07D6F">
            <w:pPr>
              <w:spacing w:before="120" w:after="120" w:line="240" w:lineRule="auto"/>
            </w:pPr>
            <w:r>
              <w:rPr>
                <w:rStyle w:val="dn"/>
                <w:b/>
                <w:bCs/>
                <w:sz w:val="20"/>
                <w:szCs w:val="20"/>
              </w:rPr>
              <w:t>TAYLLORCOX s.r.o.</w:t>
            </w:r>
            <w:r>
              <w:rPr>
                <w:rStyle w:val="dn"/>
                <w:b/>
                <w:bCs/>
                <w:color w:val="FF0000"/>
                <w:sz w:val="20"/>
                <w:szCs w:val="20"/>
                <w:u w:color="FF0000"/>
              </w:rPr>
              <w:br/>
            </w:r>
            <w:r>
              <w:rPr>
                <w:rStyle w:val="dn"/>
                <w:sz w:val="20"/>
                <w:szCs w:val="20"/>
              </w:rPr>
              <w:t>Ing. Radek Nedvěd, jednatel</w:t>
            </w:r>
          </w:p>
        </w:tc>
      </w:tr>
    </w:tbl>
    <w:p w:rsidR="001C6241" w:rsidRDefault="001C6241">
      <w:pPr>
        <w:widowControl w:val="0"/>
        <w:spacing w:after="0" w:line="240" w:lineRule="auto"/>
        <w:ind w:left="817" w:hanging="817"/>
      </w:pPr>
    </w:p>
    <w:sectPr w:rsidR="001C6241">
      <w:headerReference w:type="default" r:id="rId8"/>
      <w:footerReference w:type="default" r:id="rId9"/>
      <w:pgSz w:w="11900" w:h="16840"/>
      <w:pgMar w:top="2099" w:right="849" w:bottom="1417" w:left="1134" w:header="709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D9" w:rsidRDefault="00026ED9">
      <w:pPr>
        <w:spacing w:after="0" w:line="240" w:lineRule="auto"/>
      </w:pPr>
      <w:r>
        <w:separator/>
      </w:r>
    </w:p>
  </w:endnote>
  <w:endnote w:type="continuationSeparator" w:id="0">
    <w:p w:rsidR="00026ED9" w:rsidRDefault="0002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41" w:rsidRDefault="00E07D6F">
    <w:pPr>
      <w:pStyle w:val="Zpat"/>
      <w:pBdr>
        <w:top w:val="single" w:sz="6" w:space="0" w:color="FF0000"/>
      </w:pBdr>
      <w:tabs>
        <w:tab w:val="clear" w:pos="4536"/>
        <w:tab w:val="clear" w:pos="9072"/>
        <w:tab w:val="center" w:pos="4678"/>
        <w:tab w:val="left" w:pos="6014"/>
      </w:tabs>
      <w:ind w:right="2268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A0D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D9" w:rsidRDefault="00026ED9">
      <w:pPr>
        <w:spacing w:after="0" w:line="240" w:lineRule="auto"/>
      </w:pPr>
      <w:r>
        <w:separator/>
      </w:r>
    </w:p>
  </w:footnote>
  <w:footnote w:type="continuationSeparator" w:id="0">
    <w:p w:rsidR="00026ED9" w:rsidRDefault="0002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41" w:rsidRDefault="00E07D6F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561975</wp:posOffset>
          </wp:positionH>
          <wp:positionV relativeFrom="page">
            <wp:posOffset>466725</wp:posOffset>
          </wp:positionV>
          <wp:extent cx="1838325" cy="66675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4769484</wp:posOffset>
          </wp:positionH>
          <wp:positionV relativeFrom="page">
            <wp:posOffset>514984</wp:posOffset>
          </wp:positionV>
          <wp:extent cx="2242820" cy="450215"/>
          <wp:effectExtent l="0" t="0" r="0" b="0"/>
          <wp:wrapNone/>
          <wp:docPr id="1073741826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4" descr="Obrázek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20" cy="450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5749290</wp:posOffset>
          </wp:positionH>
          <wp:positionV relativeFrom="page">
            <wp:posOffset>10039984</wp:posOffset>
          </wp:positionV>
          <wp:extent cx="1261110" cy="352425"/>
          <wp:effectExtent l="0" t="0" r="0" b="0"/>
          <wp:wrapNone/>
          <wp:docPr id="107374182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1" descr="obrázek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C95"/>
    <w:multiLevelType w:val="hybridMultilevel"/>
    <w:tmpl w:val="DC2C32C8"/>
    <w:styleLink w:val="Importovanstyl4"/>
    <w:lvl w:ilvl="0" w:tplc="B2EE0BAC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2AF8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28E304">
      <w:start w:val="1"/>
      <w:numFmt w:val="lowerRoman"/>
      <w:lvlText w:val="%3."/>
      <w:lvlJc w:val="left"/>
      <w:pPr>
        <w:ind w:left="25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8B79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E5CA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A018C">
      <w:start w:val="1"/>
      <w:numFmt w:val="lowerRoman"/>
      <w:lvlText w:val="%6."/>
      <w:lvlJc w:val="left"/>
      <w:pPr>
        <w:ind w:left="46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CE0F9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66C7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A773E">
      <w:start w:val="1"/>
      <w:numFmt w:val="lowerRoman"/>
      <w:lvlText w:val="%9."/>
      <w:lvlJc w:val="left"/>
      <w:pPr>
        <w:ind w:left="684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DD17F9"/>
    <w:multiLevelType w:val="hybridMultilevel"/>
    <w:tmpl w:val="C8D29998"/>
    <w:numStyleLink w:val="Importovanstyl8"/>
  </w:abstractNum>
  <w:abstractNum w:abstractNumId="2" w15:restartNumberingAfterBreak="0">
    <w:nsid w:val="16265B4D"/>
    <w:multiLevelType w:val="hybridMultilevel"/>
    <w:tmpl w:val="B0AC3A70"/>
    <w:numStyleLink w:val="Importovanstyl6"/>
  </w:abstractNum>
  <w:abstractNum w:abstractNumId="3" w15:restartNumberingAfterBreak="0">
    <w:nsid w:val="172F0CC7"/>
    <w:multiLevelType w:val="hybridMultilevel"/>
    <w:tmpl w:val="C8D29998"/>
    <w:styleLink w:val="Importovanstyl8"/>
    <w:lvl w:ilvl="0" w:tplc="D9A04820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013E8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E56EC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38C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4D03A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C74B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88086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E121C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620CA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1B75F7"/>
    <w:multiLevelType w:val="hybridMultilevel"/>
    <w:tmpl w:val="BDE0CFE4"/>
    <w:styleLink w:val="Importovanstyl5"/>
    <w:lvl w:ilvl="0" w:tplc="031A5B4C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ED3EC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2F75C">
      <w:start w:val="1"/>
      <w:numFmt w:val="lowerRoman"/>
      <w:lvlText w:val="%3."/>
      <w:lvlJc w:val="left"/>
      <w:pPr>
        <w:ind w:left="271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41A6E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2E92C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C8718">
      <w:start w:val="1"/>
      <w:numFmt w:val="lowerRoman"/>
      <w:lvlText w:val="%6."/>
      <w:lvlJc w:val="left"/>
      <w:pPr>
        <w:ind w:left="487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C9F52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CC888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E2C20">
      <w:start w:val="1"/>
      <w:numFmt w:val="lowerRoman"/>
      <w:lvlText w:val="%9."/>
      <w:lvlJc w:val="left"/>
      <w:pPr>
        <w:ind w:left="703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4A24B9"/>
    <w:multiLevelType w:val="hybridMultilevel"/>
    <w:tmpl w:val="27DEC118"/>
    <w:styleLink w:val="Importovanstyl7"/>
    <w:lvl w:ilvl="0" w:tplc="69F2BF00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3AB350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A01E8E">
      <w:start w:val="1"/>
      <w:numFmt w:val="lowerRoman"/>
      <w:lvlText w:val="%3."/>
      <w:lvlJc w:val="left"/>
      <w:pPr>
        <w:ind w:left="271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CB7B0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8C4FEA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2CA4A">
      <w:start w:val="1"/>
      <w:numFmt w:val="lowerRoman"/>
      <w:lvlText w:val="%6."/>
      <w:lvlJc w:val="left"/>
      <w:pPr>
        <w:ind w:left="487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C7294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A8798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2D45A">
      <w:start w:val="1"/>
      <w:numFmt w:val="lowerRoman"/>
      <w:lvlText w:val="%9."/>
      <w:lvlJc w:val="left"/>
      <w:pPr>
        <w:ind w:left="703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D32974"/>
    <w:multiLevelType w:val="hybridMultilevel"/>
    <w:tmpl w:val="FD9CDEC8"/>
    <w:styleLink w:val="Importovanstyl1"/>
    <w:lvl w:ilvl="0" w:tplc="393E7A8A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418F4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6C3B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4428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CC2AE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ECB66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C61F2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A83F0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A324A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B50C88"/>
    <w:multiLevelType w:val="hybridMultilevel"/>
    <w:tmpl w:val="05F02212"/>
    <w:numStyleLink w:val="Importovanstyl9"/>
  </w:abstractNum>
  <w:abstractNum w:abstractNumId="8" w15:restartNumberingAfterBreak="0">
    <w:nsid w:val="44C902F4"/>
    <w:multiLevelType w:val="hybridMultilevel"/>
    <w:tmpl w:val="E1CA9D32"/>
    <w:styleLink w:val="Importovanstyl3"/>
    <w:lvl w:ilvl="0" w:tplc="F266F550">
      <w:start w:val="1"/>
      <w:numFmt w:val="decimal"/>
      <w:lvlText w:val="%1.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829F4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EA4CE">
      <w:start w:val="1"/>
      <w:numFmt w:val="lowerRoman"/>
      <w:lvlText w:val="%3."/>
      <w:lvlJc w:val="left"/>
      <w:pPr>
        <w:ind w:left="2290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1C7224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EA0CA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E7FBE">
      <w:start w:val="1"/>
      <w:numFmt w:val="lowerRoman"/>
      <w:lvlText w:val="%6."/>
      <w:lvlJc w:val="left"/>
      <w:pPr>
        <w:ind w:left="4450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44F1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CD3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C62E50">
      <w:start w:val="1"/>
      <w:numFmt w:val="lowerRoman"/>
      <w:lvlText w:val="%9."/>
      <w:lvlJc w:val="left"/>
      <w:pPr>
        <w:ind w:left="6610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0F102A"/>
    <w:multiLevelType w:val="hybridMultilevel"/>
    <w:tmpl w:val="B0AC3A70"/>
    <w:styleLink w:val="Importovanstyl6"/>
    <w:lvl w:ilvl="0" w:tplc="5AEA5B12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E06B0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787224">
      <w:start w:val="1"/>
      <w:numFmt w:val="lowerRoman"/>
      <w:lvlText w:val="%3."/>
      <w:lvlJc w:val="left"/>
      <w:pPr>
        <w:ind w:left="271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AFA4C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64B74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204A6">
      <w:start w:val="1"/>
      <w:numFmt w:val="lowerRoman"/>
      <w:lvlText w:val="%6."/>
      <w:lvlJc w:val="left"/>
      <w:pPr>
        <w:ind w:left="487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4897A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E61466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4F154">
      <w:start w:val="1"/>
      <w:numFmt w:val="lowerRoman"/>
      <w:lvlText w:val="%9."/>
      <w:lvlJc w:val="left"/>
      <w:pPr>
        <w:ind w:left="703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5372A2"/>
    <w:multiLevelType w:val="hybridMultilevel"/>
    <w:tmpl w:val="05F02212"/>
    <w:styleLink w:val="Importovanstyl9"/>
    <w:lvl w:ilvl="0" w:tplc="78829D22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CBEAA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A478C">
      <w:start w:val="1"/>
      <w:numFmt w:val="lowerRoman"/>
      <w:lvlText w:val="%3."/>
      <w:lvlJc w:val="left"/>
      <w:pPr>
        <w:ind w:left="214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F82B0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8AC7A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6C30C">
      <w:start w:val="1"/>
      <w:numFmt w:val="lowerRoman"/>
      <w:lvlText w:val="%6."/>
      <w:lvlJc w:val="left"/>
      <w:pPr>
        <w:ind w:left="430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A94FC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6BB5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CFB98">
      <w:start w:val="1"/>
      <w:numFmt w:val="lowerRoman"/>
      <w:lvlText w:val="%9."/>
      <w:lvlJc w:val="left"/>
      <w:pPr>
        <w:ind w:left="646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FB260A"/>
    <w:multiLevelType w:val="hybridMultilevel"/>
    <w:tmpl w:val="29CE4AE2"/>
    <w:numStyleLink w:val="Importovanstyl2"/>
  </w:abstractNum>
  <w:abstractNum w:abstractNumId="12" w15:restartNumberingAfterBreak="0">
    <w:nsid w:val="66B044F5"/>
    <w:multiLevelType w:val="hybridMultilevel"/>
    <w:tmpl w:val="FD9CDEC8"/>
    <w:numStyleLink w:val="Importovanstyl1"/>
  </w:abstractNum>
  <w:abstractNum w:abstractNumId="13" w15:restartNumberingAfterBreak="0">
    <w:nsid w:val="6B0D2F9B"/>
    <w:multiLevelType w:val="hybridMultilevel"/>
    <w:tmpl w:val="29CE4AE2"/>
    <w:styleLink w:val="Importovanstyl2"/>
    <w:lvl w:ilvl="0" w:tplc="576C4E14">
      <w:start w:val="1"/>
      <w:numFmt w:val="decimal"/>
      <w:lvlText w:val="%1.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C14E6">
      <w:start w:val="1"/>
      <w:numFmt w:val="lowerLetter"/>
      <w:lvlText w:val="%2.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69ABA">
      <w:start w:val="1"/>
      <w:numFmt w:val="lowerRoman"/>
      <w:lvlText w:val="%3."/>
      <w:lvlJc w:val="left"/>
      <w:pPr>
        <w:ind w:left="2149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CC4C3E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65D28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723182">
      <w:start w:val="1"/>
      <w:numFmt w:val="lowerRoman"/>
      <w:lvlText w:val="%6."/>
      <w:lvlJc w:val="left"/>
      <w:pPr>
        <w:ind w:left="4309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D60E6C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C1312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BA7EC0">
      <w:start w:val="1"/>
      <w:numFmt w:val="lowerRoman"/>
      <w:lvlText w:val="%9."/>
      <w:lvlJc w:val="left"/>
      <w:pPr>
        <w:ind w:left="6469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2974DA1"/>
    <w:multiLevelType w:val="hybridMultilevel"/>
    <w:tmpl w:val="27DEC118"/>
    <w:numStyleLink w:val="Importovanstyl7"/>
  </w:abstractNum>
  <w:abstractNum w:abstractNumId="15" w15:restartNumberingAfterBreak="0">
    <w:nsid w:val="733C241E"/>
    <w:multiLevelType w:val="hybridMultilevel"/>
    <w:tmpl w:val="BD90D8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886519"/>
    <w:multiLevelType w:val="hybridMultilevel"/>
    <w:tmpl w:val="E1CA9D32"/>
    <w:numStyleLink w:val="Importovanstyl3"/>
  </w:abstractNum>
  <w:abstractNum w:abstractNumId="17" w15:restartNumberingAfterBreak="0">
    <w:nsid w:val="7C3F4106"/>
    <w:multiLevelType w:val="hybridMultilevel"/>
    <w:tmpl w:val="BDE0CFE4"/>
    <w:numStyleLink w:val="Importovanstyl5"/>
  </w:abstractNum>
  <w:abstractNum w:abstractNumId="18" w15:restartNumberingAfterBreak="0">
    <w:nsid w:val="7DC840C5"/>
    <w:multiLevelType w:val="hybridMultilevel"/>
    <w:tmpl w:val="DC2C32C8"/>
    <w:numStyleLink w:val="Importovanstyl4"/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16"/>
  </w:num>
  <w:num w:numId="7">
    <w:abstractNumId w:val="0"/>
  </w:num>
  <w:num w:numId="8">
    <w:abstractNumId w:val="18"/>
  </w:num>
  <w:num w:numId="9">
    <w:abstractNumId w:val="16"/>
    <w:lvlOverride w:ilvl="0">
      <w:startOverride w:val="2"/>
    </w:lvlOverride>
  </w:num>
  <w:num w:numId="10">
    <w:abstractNumId w:val="4"/>
  </w:num>
  <w:num w:numId="11">
    <w:abstractNumId w:val="17"/>
  </w:num>
  <w:num w:numId="12">
    <w:abstractNumId w:val="16"/>
    <w:lvlOverride w:ilvl="0">
      <w:startOverride w:val="3"/>
    </w:lvlOverride>
  </w:num>
  <w:num w:numId="13">
    <w:abstractNumId w:val="9"/>
  </w:num>
  <w:num w:numId="14">
    <w:abstractNumId w:val="2"/>
  </w:num>
  <w:num w:numId="15">
    <w:abstractNumId w:val="16"/>
    <w:lvlOverride w:ilvl="0">
      <w:startOverride w:val="4"/>
    </w:lvlOverride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10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41"/>
    <w:rsid w:val="00026ED9"/>
    <w:rsid w:val="001B1E87"/>
    <w:rsid w:val="001C6241"/>
    <w:rsid w:val="0022784C"/>
    <w:rsid w:val="00233BF8"/>
    <w:rsid w:val="002F2E44"/>
    <w:rsid w:val="003A0DFA"/>
    <w:rsid w:val="007B70CA"/>
    <w:rsid w:val="00832818"/>
    <w:rsid w:val="00897F68"/>
    <w:rsid w:val="00BB2942"/>
    <w:rsid w:val="00D36EC6"/>
    <w:rsid w:val="00D44EC6"/>
    <w:rsid w:val="00E07D6F"/>
    <w:rsid w:val="00E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97FA"/>
  <w15:docId w15:val="{A69EBE39-13A3-0848-A209-D272000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0"/>
      <w:szCs w:val="20"/>
      <w:lang w:val="es-ES_tradnl"/>
    </w:rPr>
  </w:style>
  <w:style w:type="paragraph" w:customStyle="1" w:styleId="ColorfulList-Accent11">
    <w:name w:val="Colorful List - Accent 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numbering" w:customStyle="1" w:styleId="Importovanstyl9">
    <w:name w:val="Importovaný styl 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dit@tayllorc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1703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2024-06-11T13:27:00Z</dcterms:created>
  <dcterms:modified xsi:type="dcterms:W3CDTF">2025-07-30T07:37:00Z</dcterms:modified>
</cp:coreProperties>
</file>