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808B" w14:textId="77777777" w:rsidR="00840E4F" w:rsidRDefault="00840E4F"/>
    <w:p w14:paraId="568C44F6" w14:textId="77777777" w:rsidR="00840E4F" w:rsidRDefault="00A664CA">
      <w:r>
        <w:t xml:space="preserve"> </w:t>
      </w:r>
    </w:p>
    <w:tbl>
      <w:tblPr>
        <w:tblStyle w:val="Mkatabulky"/>
        <w:tblpPr w:leftFromText="141" w:rightFromText="141" w:vertAnchor="text" w:horzAnchor="page" w:tblpX="6337" w:tblpY="55"/>
        <w:tblW w:w="4868" w:type="dxa"/>
        <w:tblLayout w:type="fixed"/>
        <w:tblLook w:val="04A0" w:firstRow="1" w:lastRow="0" w:firstColumn="1" w:lastColumn="0" w:noHBand="0" w:noVBand="1"/>
      </w:tblPr>
      <w:tblGrid>
        <w:gridCol w:w="3007"/>
        <w:gridCol w:w="1861"/>
      </w:tblGrid>
      <w:tr w:rsidR="00840E4F" w14:paraId="2C40F05E" w14:textId="77777777" w:rsidTr="00A664CA">
        <w:tc>
          <w:tcPr>
            <w:tcW w:w="3007" w:type="dxa"/>
          </w:tcPr>
          <w:p w14:paraId="5E3E83DB" w14:textId="77777777" w:rsidR="00840E4F" w:rsidRPr="00A664CA" w:rsidRDefault="00A664CA" w:rsidP="00A664CA">
            <w:pPr>
              <w:ind w:right="-285"/>
              <w:rPr>
                <w:rFonts w:cs="Arial"/>
                <w:sz w:val="20"/>
                <w:szCs w:val="20"/>
              </w:rPr>
            </w:pPr>
            <w:r w:rsidRPr="00A664CA">
              <w:rPr>
                <w:rFonts w:cs="Arial"/>
                <w:sz w:val="20"/>
                <w:szCs w:val="20"/>
              </w:rPr>
              <w:t>Číslo smlouvy NTK</w:t>
            </w:r>
          </w:p>
          <w:p w14:paraId="1F555761" w14:textId="28D9F58B" w:rsidR="00840E4F" w:rsidRDefault="00A664CA" w:rsidP="00A664CA">
            <w:pPr>
              <w:ind w:right="-285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NTK č. j. </w:t>
            </w:r>
          </w:p>
        </w:tc>
        <w:tc>
          <w:tcPr>
            <w:tcW w:w="1861" w:type="dxa"/>
          </w:tcPr>
          <w:p w14:paraId="2805F084" w14:textId="77777777" w:rsidR="00840E4F" w:rsidRDefault="00A664CA" w:rsidP="00A664CA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NTK/SML/47/2025</w:t>
            </w:r>
          </w:p>
          <w:p w14:paraId="06E8CE59" w14:textId="1D7472D8" w:rsidR="00840E4F" w:rsidRDefault="00A664CA" w:rsidP="00A664CA">
            <w:pPr>
              <w:ind w:right="-285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NTK/1663/11/2025</w:t>
            </w:r>
          </w:p>
        </w:tc>
      </w:tr>
    </w:tbl>
    <w:p w14:paraId="52521D4A" w14:textId="77777777" w:rsidR="00840E4F" w:rsidRDefault="00A664CA">
      <w:pPr>
        <w:pStyle w:val="Nzev"/>
      </w:pPr>
      <w:r>
        <w:br/>
        <w:t>Dodatek č. 2 ke Smlouvě o dílo a smlouvě licenční</w:t>
      </w:r>
    </w:p>
    <w:p w14:paraId="333A833D" w14:textId="77777777" w:rsidR="00840E4F" w:rsidRDefault="00A664CA">
      <w:pPr>
        <w:spacing w:before="240" w:after="240" w:line="240" w:lineRule="auto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Národní technická knihovna (NTK), </w:t>
      </w:r>
    </w:p>
    <w:p w14:paraId="66C98F74" w14:textId="77777777" w:rsidR="00840E4F" w:rsidRDefault="00A664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  <w:bCs/>
          <w:color w:val="000000"/>
        </w:rPr>
        <w:t>sídlo: Technická 6/2710, 160 80 Praha 6 - Dejvice</w:t>
      </w:r>
    </w:p>
    <w:p w14:paraId="5D913C3E" w14:textId="77777777" w:rsidR="00840E4F" w:rsidRDefault="00A664CA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příspěvková organizace zřízená Ministerstvem školství, mládeže a tělovýchovy</w:t>
      </w:r>
    </w:p>
    <w:p w14:paraId="27C0EDF7" w14:textId="77777777" w:rsidR="00840E4F" w:rsidRDefault="00A664CA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IČ: 6138 7142</w:t>
      </w:r>
    </w:p>
    <w:p w14:paraId="2F75F599" w14:textId="77777777" w:rsidR="00840E4F" w:rsidRDefault="00A664CA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DIČ: CZ61387142 </w:t>
      </w:r>
    </w:p>
    <w:p w14:paraId="012A3173" w14:textId="3553BB34" w:rsidR="00AB046B" w:rsidRPr="00F84E8D" w:rsidRDefault="00A664CA" w:rsidP="00F84E8D">
      <w:pPr>
        <w:spacing w:line="36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color w:val="000000"/>
        </w:rPr>
        <w:t>bankovní spojení ČNB Praha:</w:t>
      </w:r>
      <w:r w:rsidR="00255201">
        <w:rPr>
          <w:rFonts w:eastAsia="Times New Roman" w:cstheme="minorHAnsi"/>
          <w:color w:val="000000"/>
          <w:shd w:val="clear" w:color="auto" w:fill="000000"/>
        </w:rPr>
        <w:t>&lt;**********&gt;&gt;</w:t>
      </w:r>
      <w:r>
        <w:rPr>
          <w:rFonts w:eastAsia="Times New Roman" w:cstheme="minorHAnsi"/>
          <w:color w:val="000000"/>
        </w:rPr>
        <w:t xml:space="preserve"> zastoupená</w:t>
      </w:r>
      <w:r w:rsidR="008D2512">
        <w:rPr>
          <w:rFonts w:eastAsia="Times New Roman" w:cstheme="minorHAnsi"/>
          <w:color w:val="000000"/>
        </w:rPr>
        <w:t xml:space="preserve"> </w:t>
      </w:r>
      <w:r w:rsidR="00255201">
        <w:rPr>
          <w:rFonts w:eastAsia="Times New Roman" w:cstheme="minorHAnsi"/>
          <w:color w:val="000000"/>
          <w:shd w:val="clear" w:color="auto" w:fill="000000"/>
        </w:rPr>
        <w:t>&lt;&lt;***********&gt;&gt;</w:t>
      </w:r>
    </w:p>
    <w:p w14:paraId="67D78EED" w14:textId="77777777" w:rsidR="00840E4F" w:rsidRDefault="00A664CA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(dále jen „Objednatel“)</w:t>
      </w:r>
    </w:p>
    <w:p w14:paraId="539309D1" w14:textId="77777777" w:rsidR="00840E4F" w:rsidRDefault="00A664CA">
      <w:pPr>
        <w:spacing w:before="240" w:after="240" w:line="240" w:lineRule="auto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color w:val="000000"/>
        </w:rPr>
        <w:t>a</w:t>
      </w:r>
    </w:p>
    <w:p w14:paraId="4AEC6A19" w14:textId="77777777" w:rsidR="00840E4F" w:rsidRDefault="00A664CA">
      <w:pPr>
        <w:spacing w:before="240" w:after="24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Michal Král</w:t>
      </w:r>
    </w:p>
    <w:p w14:paraId="6AAF0C62" w14:textId="77777777" w:rsidR="00840E4F" w:rsidRDefault="00A664CA">
      <w:pPr>
        <w:spacing w:before="240" w:after="24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color w:val="000000"/>
        </w:rPr>
        <w:t xml:space="preserve">sídlo: </w:t>
      </w:r>
      <w:r>
        <w:rPr>
          <w:rFonts w:eastAsia="Times New Roman" w:cstheme="minorHAnsi"/>
        </w:rPr>
        <w:t>Šnajdrova 905, Chrudim, 537 01</w:t>
      </w:r>
    </w:p>
    <w:p w14:paraId="587AFA7F" w14:textId="77777777" w:rsidR="00840E4F" w:rsidRDefault="00A664CA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IČ:</w:t>
      </w:r>
      <w:r>
        <w:rPr>
          <w:rFonts w:eastAsia="Times New Roman" w:cstheme="minorHAnsi"/>
        </w:rPr>
        <w:t xml:space="preserve"> 02217996</w:t>
      </w:r>
    </w:p>
    <w:p w14:paraId="00E8AD63" w14:textId="77777777" w:rsidR="00840E4F" w:rsidRDefault="00A664CA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DIČ: </w:t>
      </w:r>
      <w:r>
        <w:rPr>
          <w:rFonts w:eastAsia="Times New Roman" w:cstheme="minorHAnsi"/>
        </w:rPr>
        <w:t>neplátce DPH</w:t>
      </w:r>
    </w:p>
    <w:p w14:paraId="79505ADF" w14:textId="0D3BE32D" w:rsidR="00840E4F" w:rsidRPr="00A664CA" w:rsidRDefault="00A664CA" w:rsidP="00A664CA">
      <w:pPr>
        <w:pStyle w:val="Default"/>
      </w:pPr>
      <w:proofErr w:type="spellStart"/>
      <w:r w:rsidRPr="00A664CA">
        <w:rPr>
          <w:rFonts w:eastAsia="Times New Roman" w:cstheme="minorHAnsi"/>
        </w:rPr>
        <w:t>č.ú</w:t>
      </w:r>
      <w:proofErr w:type="spellEnd"/>
      <w:r w:rsidRPr="00A664CA">
        <w:rPr>
          <w:rFonts w:eastAsia="Times New Roman" w:cstheme="minorHAnsi"/>
        </w:rPr>
        <w:t xml:space="preserve">.: </w:t>
      </w:r>
      <w:r w:rsidR="00255201">
        <w:rPr>
          <w:sz w:val="22"/>
          <w:szCs w:val="22"/>
          <w:shd w:val="clear" w:color="auto" w:fill="000000"/>
        </w:rPr>
        <w:t>&lt;&lt;***************&gt;&gt;</w:t>
      </w:r>
    </w:p>
    <w:p w14:paraId="485D48BC" w14:textId="77777777" w:rsidR="00840E4F" w:rsidRDefault="00A664CA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(dále jen „Zhotovitel“; Objednatel a Zhotovitel společně dále také jen „Strany“)</w:t>
      </w:r>
    </w:p>
    <w:p w14:paraId="3DBC3D7F" w14:textId="77777777" w:rsidR="00840E4F" w:rsidRDefault="00A664CA">
      <w:pPr>
        <w:spacing w:before="240" w:after="24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uzavřeli, ve smyslu § 2358 a násl. a §2586 a násl. zákona 89/2012 Sb. občanského zákoníku v platném znění, následující</w:t>
      </w:r>
    </w:p>
    <w:p w14:paraId="19CD7D6D" w14:textId="77777777" w:rsidR="00EF6089" w:rsidRDefault="00EF6089">
      <w:pPr>
        <w:spacing w:before="240" w:after="240" w:line="240" w:lineRule="auto"/>
        <w:rPr>
          <w:rFonts w:eastAsia="Times New Roman" w:cstheme="minorHAnsi"/>
          <w:color w:val="000000"/>
        </w:rPr>
      </w:pPr>
    </w:p>
    <w:p w14:paraId="691A42B5" w14:textId="77777777" w:rsidR="00E45555" w:rsidRDefault="00E45555">
      <w:pPr>
        <w:spacing w:before="240" w:after="240" w:line="240" w:lineRule="auto"/>
        <w:rPr>
          <w:rFonts w:eastAsia="Times New Roman" w:cstheme="minorHAnsi"/>
          <w:color w:val="000000"/>
        </w:rPr>
      </w:pPr>
    </w:p>
    <w:p w14:paraId="34738609" w14:textId="77777777" w:rsidR="00EF6089" w:rsidRDefault="00EF6089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</w:p>
    <w:p w14:paraId="79900BDF" w14:textId="77777777" w:rsidR="00840E4F" w:rsidRDefault="00A664CA">
      <w:pPr>
        <w:spacing w:before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32"/>
          <w:szCs w:val="32"/>
        </w:rPr>
        <w:t>Dodatek č. 2 ke Smlouvě o dílo a smlouvě licenční</w:t>
      </w:r>
    </w:p>
    <w:p w14:paraId="262468F1" w14:textId="77777777" w:rsidR="00840E4F" w:rsidRDefault="00A664CA">
      <w:pPr>
        <w:spacing w:before="240"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(dále jen „Dodatek“).</w:t>
      </w:r>
    </w:p>
    <w:p w14:paraId="5DDAB400" w14:textId="77777777" w:rsidR="00840E4F" w:rsidRDefault="00A664CA">
      <w:pPr>
        <w:pStyle w:val="Odstavecseseznamem"/>
        <w:keepNext/>
        <w:keepLines/>
        <w:numPr>
          <w:ilvl w:val="0"/>
          <w:numId w:val="1"/>
        </w:numPr>
        <w:spacing w:before="360" w:after="24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Úvodní ustanovení</w:t>
      </w:r>
    </w:p>
    <w:p w14:paraId="2A3844A9" w14:textId="1E54F42A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360" w:after="24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 xml:space="preserve">Smluvní strany konstatují, že dne 6. května 2025 uzavřely Smlouvu o dílo a licenční smlouvu (dále jen „Smlouva“) za účelem realizace specifikovaného díla </w:t>
      </w:r>
      <w:r w:rsidR="00EF6089">
        <w:rPr>
          <w:rFonts w:eastAsia="Times New Roman" w:cstheme="minorHAnsi"/>
          <w:color w:val="000000"/>
          <w:shd w:val="clear" w:color="auto" w:fill="FFFFFF"/>
        </w:rPr>
        <w:t>Video tutoriály</w:t>
      </w:r>
      <w:r>
        <w:rPr>
          <w:rFonts w:eastAsia="Times New Roman" w:cstheme="minorHAnsi"/>
          <w:color w:val="000000"/>
          <w:shd w:val="clear" w:color="auto" w:fill="FFFFFF"/>
        </w:rPr>
        <w:t xml:space="preserve"> Národního centra ORCID</w:t>
      </w:r>
      <w:r>
        <w:rPr>
          <w:rFonts w:eastAsia="Times New Roman" w:cstheme="minorHAnsi"/>
          <w:color w:val="000000"/>
        </w:rPr>
        <w:t xml:space="preserve">, dne 2. července 2025 uzavřely Dodatek č. 1 ke Smlouvě. </w:t>
      </w:r>
    </w:p>
    <w:p w14:paraId="4BAEC702" w14:textId="3DB32725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360" w:after="24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 ohledem na nepředvídatelné změny ze strany Objednatele, jejich pracnost na straně Zhotovitele, s přihlédnutím ke vzájemně odlišnému vnímání postupů a výsledných produktů díla vytvářeného na základě Smlouvy, se Strany dohodly na ukončení </w:t>
      </w:r>
      <w:r w:rsidR="00EF6089">
        <w:rPr>
          <w:rFonts w:eastAsia="Times New Roman" w:cstheme="minorHAnsi"/>
          <w:color w:val="000000"/>
        </w:rPr>
        <w:t>Smlouvy s</w:t>
      </w:r>
      <w:r>
        <w:rPr>
          <w:rFonts w:eastAsia="Times New Roman" w:cstheme="minorHAnsi"/>
          <w:color w:val="000000"/>
        </w:rPr>
        <w:t> finančním vypořádáním odvedené práce ze strany Zhotovitele na základě předaného díla v nedokončeném stavu.</w:t>
      </w:r>
    </w:p>
    <w:p w14:paraId="0B1579BC" w14:textId="77777777" w:rsidR="00840E4F" w:rsidRDefault="00840E4F">
      <w:pPr>
        <w:pStyle w:val="Odstavecseseznamem"/>
        <w:keepNext/>
        <w:keepLines/>
        <w:spacing w:before="360" w:after="240" w:line="360" w:lineRule="auto"/>
        <w:ind w:left="792"/>
        <w:rPr>
          <w:rFonts w:eastAsia="Times New Roman" w:cstheme="minorHAnsi"/>
          <w:sz w:val="24"/>
          <w:szCs w:val="24"/>
        </w:rPr>
      </w:pPr>
    </w:p>
    <w:p w14:paraId="51EBEB40" w14:textId="77777777" w:rsidR="00840E4F" w:rsidRDefault="00A664CA">
      <w:pPr>
        <w:pStyle w:val="Odstavecseseznamem"/>
        <w:keepNext/>
        <w:keepLines/>
        <w:numPr>
          <w:ilvl w:val="0"/>
          <w:numId w:val="1"/>
        </w:numPr>
        <w:spacing w:before="360" w:after="240" w:line="36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Předmět dodatku</w:t>
      </w:r>
    </w:p>
    <w:p w14:paraId="62ACDACD" w14:textId="52C1833E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360" w:after="24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Smluvní strany se dohodly, že k datu </w:t>
      </w:r>
      <w:r w:rsidR="00EF6089">
        <w:rPr>
          <w:rFonts w:eastAsia="Times New Roman" w:cstheme="minorHAnsi"/>
          <w:color w:val="000000"/>
        </w:rPr>
        <w:t>31. července 2025</w:t>
      </w:r>
      <w:r>
        <w:rPr>
          <w:rFonts w:eastAsia="Times New Roman" w:cstheme="minorHAnsi"/>
          <w:color w:val="000000"/>
        </w:rPr>
        <w:t xml:space="preserve"> budou ze strany Zhotovitele předány Objednateli všechny dosavadní výstupy vzniklé na základě </w:t>
      </w:r>
      <w:proofErr w:type="gramStart"/>
      <w:r>
        <w:rPr>
          <w:rFonts w:eastAsia="Times New Roman" w:cstheme="minorHAnsi"/>
          <w:color w:val="000000"/>
        </w:rPr>
        <w:t>Smlouvy</w:t>
      </w:r>
      <w:proofErr w:type="gramEnd"/>
      <w:r>
        <w:rPr>
          <w:rFonts w:eastAsia="Times New Roman" w:cstheme="minorHAnsi"/>
          <w:color w:val="000000"/>
        </w:rPr>
        <w:t xml:space="preserve"> a to i v nedokončeném stavu, přičemž Objednatel výstupy převezme ve stavu, v jakém budou v okamžiku předání („Předané dílo“).</w:t>
      </w:r>
    </w:p>
    <w:p w14:paraId="1C52E189" w14:textId="65D651CC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360" w:after="24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Objednavatel vystaví Zhotoviteli předávací protokol, v kterém potvrdí převzetí Předaného díla. </w:t>
      </w:r>
    </w:p>
    <w:p w14:paraId="32A3104C" w14:textId="0BD60DF1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360" w:after="24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Finanční plnění ze strany Objednatele vůči Zhotoviteli bylo stanoveno dohodou s ohledem na rozsah Předaného díla ve výši 61 170 Kč bez DPH. Podkladem pro úhradu bude faktura vystavená Zhotovitelem, jejíž přílohou bude oboustranně podepsaný předávací protokol k Předanému dílu.</w:t>
      </w:r>
    </w:p>
    <w:p w14:paraId="34B5110C" w14:textId="77777777" w:rsidR="00840E4F" w:rsidRDefault="00A664CA">
      <w:pPr>
        <w:pStyle w:val="Odstavecseseznamem"/>
        <w:numPr>
          <w:ilvl w:val="1"/>
          <w:numId w:val="1"/>
        </w:numPr>
        <w:spacing w:before="360" w:after="24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Strany se dohodly, že ustanovení Smlouvy, resp. vzájemná práva a povinnosti, které měly přetrvat Smlouvu, zůstávají nadále v platnosti, a to v maximálním rozsahu, který lze na Předané dílo aplikovat (např. licence a z ní vyplývající právo Objednatele Předané dílo dále upravovat). Pro vyloučení pochybností se uvádí, že předchozí větu nelze aplikovat na ustanovení vztahující výlučně se k řádnému (s)plnění díla, tedy zejména práva z vadného plnění, záruk apod.</w:t>
      </w:r>
    </w:p>
    <w:p w14:paraId="215BC03E" w14:textId="4E986B31" w:rsidR="00840E4F" w:rsidRDefault="00A664CA">
      <w:pPr>
        <w:pStyle w:val="Odstavecseseznamem"/>
        <w:numPr>
          <w:ilvl w:val="1"/>
          <w:numId w:val="1"/>
        </w:numPr>
        <w:spacing w:before="360" w:after="24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Strany se dohodly, že s výhradou ustanovení 2.4 tohoto Dodatku Smlouva </w:t>
      </w:r>
      <w:proofErr w:type="gramStart"/>
      <w:r>
        <w:rPr>
          <w:rFonts w:eastAsia="Times New Roman" w:cstheme="minorHAnsi"/>
          <w:color w:val="000000"/>
        </w:rPr>
        <w:t>končí</w:t>
      </w:r>
      <w:proofErr w:type="gramEnd"/>
      <w:r>
        <w:rPr>
          <w:rFonts w:eastAsia="Times New Roman" w:cstheme="minorHAnsi"/>
          <w:color w:val="000000"/>
        </w:rPr>
        <w:t xml:space="preserve"> ke dni, kdy dojde k úhradě částky podle ustanovení 2</w:t>
      </w:r>
      <w:r w:rsidR="00EF608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3 tohoto Dodatku.</w:t>
      </w:r>
    </w:p>
    <w:p w14:paraId="57EADDEB" w14:textId="77777777" w:rsidR="00840E4F" w:rsidRDefault="00840E4F">
      <w:pPr>
        <w:pStyle w:val="Odstavecseseznamem"/>
        <w:keepNext/>
        <w:keepLines/>
        <w:spacing w:before="360" w:after="240" w:line="360" w:lineRule="auto"/>
        <w:ind w:left="792"/>
        <w:rPr>
          <w:rFonts w:eastAsia="Times New Roman" w:cstheme="minorHAnsi"/>
          <w:color w:val="000000"/>
        </w:rPr>
      </w:pPr>
    </w:p>
    <w:p w14:paraId="68506094" w14:textId="77777777" w:rsidR="00840E4F" w:rsidRDefault="00A664CA">
      <w:pPr>
        <w:pStyle w:val="Odstavecseseznamem"/>
        <w:keepNext/>
        <w:keepLines/>
        <w:numPr>
          <w:ilvl w:val="0"/>
          <w:numId w:val="1"/>
        </w:numPr>
        <w:spacing w:before="240" w:after="12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Závěrečná ustanovení:</w:t>
      </w:r>
    </w:p>
    <w:p w14:paraId="6E95F04B" w14:textId="77777777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>
        <w:t xml:space="preserve">Tento Dodatek č. 2 </w:t>
      </w:r>
      <w:proofErr w:type="gramStart"/>
      <w:r>
        <w:t>tvoří</w:t>
      </w:r>
      <w:proofErr w:type="gramEnd"/>
      <w:r>
        <w:t xml:space="preserve"> nedílnou součást Smlouvy o dílo a licenční smlouvy uzavřené mezi smluvními stranami dne 6. května 2025. </w:t>
      </w:r>
    </w:p>
    <w:p w14:paraId="093067FB" w14:textId="77777777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>
        <w:t xml:space="preserve">Ustanovení tohoto Dodatku mají přednost před ustanoveními původní Smlouvy, pokud jsou s nimi v rozporu. </w:t>
      </w:r>
    </w:p>
    <w:p w14:paraId="2111D00B" w14:textId="77777777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>
        <w:t xml:space="preserve">Tento Dodatek je vyhotoven ve dvou stejnopisech s platností originálu, z nichž každá ze smluvních stran </w:t>
      </w:r>
      <w:proofErr w:type="gramStart"/>
      <w:r>
        <w:t>obdrží</w:t>
      </w:r>
      <w:proofErr w:type="gramEnd"/>
      <w:r>
        <w:t xml:space="preserve"> po jednom vyhotovení. </w:t>
      </w:r>
    </w:p>
    <w:p w14:paraId="4366F0E4" w14:textId="77777777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Tento Dodatek nabývá účinnosti dnem jeho zveřejnění v registru smluv podle zákona č. 340/2015 Sb., o registru smluv, ve znění pozdějších předpisů. Zveřejnění Dodatku v registru smluv zajistí Objednatel.</w:t>
      </w:r>
    </w:p>
    <w:p w14:paraId="5F342BD3" w14:textId="77777777" w:rsidR="00840E4F" w:rsidRDefault="00A664CA">
      <w:pPr>
        <w:pStyle w:val="Odstavecseseznamem"/>
        <w:keepNext/>
        <w:keepLines/>
        <w:numPr>
          <w:ilvl w:val="1"/>
          <w:numId w:val="1"/>
        </w:numPr>
        <w:spacing w:before="240" w:after="120" w:line="360" w:lineRule="auto"/>
        <w:ind w:left="709"/>
        <w:rPr>
          <w:rFonts w:eastAsia="Times New Roman" w:cstheme="minorHAnsi"/>
          <w:color w:val="000000"/>
        </w:rPr>
      </w:pPr>
      <w:r>
        <w:t>Smluvní strany prohlašují, že si tento Dodatek přečetly, jeho obsahu rozumí, na důkaz čehož jej stvrzují svými podpisy.</w:t>
      </w:r>
    </w:p>
    <w:p w14:paraId="6F82250D" w14:textId="77777777" w:rsidR="00840E4F" w:rsidRDefault="00840E4F">
      <w:pPr>
        <w:keepNext/>
        <w:keepLines/>
        <w:spacing w:before="240" w:line="360" w:lineRule="auto"/>
        <w:rPr>
          <w:rFonts w:eastAsia="Times New Roman" w:cstheme="minorHAnsi"/>
          <w:color w:val="000000"/>
        </w:rPr>
      </w:pPr>
    </w:p>
    <w:p w14:paraId="6ED45709" w14:textId="77777777" w:rsidR="00840E4F" w:rsidRDefault="00A664CA">
      <w:pPr>
        <w:keepNext/>
        <w:keepLines/>
        <w:spacing w:before="24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 xml:space="preserve">V Praze dne </w:t>
      </w:r>
    </w:p>
    <w:p w14:paraId="631BE316" w14:textId="77777777" w:rsidR="00840E4F" w:rsidRDefault="00A664CA">
      <w:pPr>
        <w:keepNext/>
        <w:keepLines/>
        <w:spacing w:line="360" w:lineRule="auto"/>
        <w:ind w:left="6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    </w:t>
      </w:r>
    </w:p>
    <w:p w14:paraId="3FE3B5B5" w14:textId="77777777" w:rsidR="00840E4F" w:rsidRDefault="00840E4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1DBEBE1E" w14:textId="77777777" w:rsidR="00840E4F" w:rsidRDefault="00840E4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399044D0" w14:textId="77777777" w:rsidR="00840E4F" w:rsidRDefault="00840E4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6EACB714" w14:textId="77777777" w:rsidR="00840E4F" w:rsidRDefault="00840E4F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</w:p>
    <w:p w14:paraId="72F85A19" w14:textId="77777777" w:rsidR="00840E4F" w:rsidRDefault="00A664CA">
      <w:pPr>
        <w:keepNext/>
        <w:keepLines/>
        <w:spacing w:line="360" w:lineRule="auto"/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Objednatel                                                                                 Zhotovitel</w:t>
      </w:r>
    </w:p>
    <w:p w14:paraId="3CA55736" w14:textId="77777777" w:rsidR="00840E4F" w:rsidRDefault="00840E4F">
      <w:pPr>
        <w:spacing w:line="360" w:lineRule="auto"/>
        <w:ind w:left="720"/>
        <w:rPr>
          <w:rFonts w:eastAsia="Times New Roman" w:cstheme="minorHAnsi"/>
          <w:color w:val="000000"/>
        </w:rPr>
      </w:pPr>
    </w:p>
    <w:sectPr w:rsidR="00840E4F" w:rsidSect="001908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418" w:bottom="1418" w:left="1134" w:header="57" w:footer="397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145B" w14:textId="77777777" w:rsidR="00D80EF0" w:rsidRDefault="00D80EF0">
      <w:pPr>
        <w:spacing w:line="240" w:lineRule="auto"/>
      </w:pPr>
      <w:r>
        <w:separator/>
      </w:r>
    </w:p>
  </w:endnote>
  <w:endnote w:type="continuationSeparator" w:id="0">
    <w:p w14:paraId="565ADABE" w14:textId="77777777" w:rsidR="00D80EF0" w:rsidRDefault="00D80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C785" w14:textId="7F8B12B6" w:rsidR="00840E4F" w:rsidRDefault="00A664CA">
    <w:pPr>
      <w:pStyle w:val="Zpat"/>
      <w:jc w:val="right"/>
      <w:rPr>
        <w:color w:val="CE3736"/>
        <w:sz w:val="28"/>
        <w:szCs w:val="28"/>
      </w:rPr>
    </w:pPr>
    <w:r>
      <w:rPr>
        <w:color w:val="CE3736"/>
      </w:rPr>
      <w:fldChar w:fldCharType="begin"/>
    </w:r>
    <w:r>
      <w:rPr>
        <w:color w:val="CE3736"/>
      </w:rPr>
      <w:instrText xml:space="preserve"> PAGE \* ARABIC </w:instrText>
    </w:r>
    <w:r>
      <w:rPr>
        <w:color w:val="CE3736"/>
      </w:rPr>
      <w:fldChar w:fldCharType="separate"/>
    </w:r>
    <w:r>
      <w:rPr>
        <w:color w:val="CE3736"/>
      </w:rPr>
      <w:t>3</w:t>
    </w:r>
    <w:r>
      <w:rPr>
        <w:color w:val="CE3736"/>
      </w:rPr>
      <w:fldChar w:fldCharType="end"/>
    </w:r>
    <w:r>
      <w:rPr>
        <w:color w:val="CE3736"/>
      </w:rPr>
      <w:t>/</w:t>
    </w:r>
    <w:r>
      <w:fldChar w:fldCharType="begin"/>
    </w:r>
    <w:r>
      <w:rPr>
        <w:color w:val="CE3736"/>
      </w:rPr>
      <w:instrText>SECTIONPAGES  \* MERGEFORMAT</w:instrText>
    </w:r>
    <w:r>
      <w:rPr>
        <w:color w:val="CE3736"/>
      </w:rPr>
      <w:fldChar w:fldCharType="separate"/>
    </w:r>
    <w:r w:rsidR="003B15C0">
      <w:rPr>
        <w:noProof/>
        <w:color w:val="CE3736"/>
      </w:rPr>
      <w:t>3</w:t>
    </w:r>
    <w:r>
      <w:rPr>
        <w:color w:val="CE3736"/>
      </w:rPr>
      <w:fldChar w:fldCharType="end"/>
    </w:r>
  </w:p>
  <w:p w14:paraId="024B128F" w14:textId="77777777" w:rsidR="00840E4F" w:rsidRDefault="00840E4F">
    <w:pP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42A" w14:textId="4C238AD9" w:rsidR="00840E4F" w:rsidRDefault="00A664CA">
    <w:pPr>
      <w:tabs>
        <w:tab w:val="center" w:pos="4820"/>
        <w:tab w:val="right" w:pos="9639"/>
      </w:tabs>
      <w:spacing w:line="283" w:lineRule="auto"/>
      <w:rPr>
        <w:rFonts w:ascii="Open Sans Light" w:eastAsia="Open Sans Light" w:hAnsi="Open Sans Light" w:cs="Open Sans Light"/>
        <w:color w:val="000000" w:themeColor="text1"/>
        <w:sz w:val="21"/>
        <w:szCs w:val="21"/>
      </w:rPr>
    </w:pPr>
    <w:r>
      <w:rPr>
        <w:noProof/>
      </w:rPr>
      <mc:AlternateContent>
        <mc:Choice Requires="wps">
          <w:drawing>
            <wp:anchor distT="0" distB="1270" distL="0" distR="635" simplePos="0" relativeHeight="14" behindDoc="1" locked="0" layoutInCell="1" allowOverlap="1" wp14:anchorId="646DDC5D" wp14:editId="3520F353">
              <wp:simplePos x="0" y="0"/>
              <wp:positionH relativeFrom="column">
                <wp:posOffset>5610860</wp:posOffset>
              </wp:positionH>
              <wp:positionV relativeFrom="paragraph">
                <wp:posOffset>-112395</wp:posOffset>
              </wp:positionV>
              <wp:extent cx="673100" cy="658495"/>
              <wp:effectExtent l="0" t="0" r="0" b="0"/>
              <wp:wrapNone/>
              <wp:docPr id="33682856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0" cy="658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C883D4" w14:textId="1052455F" w:rsidR="00840E4F" w:rsidRDefault="00A664CA">
                          <w:pPr>
                            <w:pStyle w:val="Obsahrmce"/>
                            <w:jc w:val="right"/>
                            <w:rPr>
                              <w:color w:val="CE373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eastAsia="Open Sans Light" w:cs="Arial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>
                            <w:rPr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color w:val="000000" w:themeColor="text1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CE3736"/>
                            </w:rPr>
                            <w:instrText>SECTIONPAGES  \* MERGEFORMAT</w:instrText>
                          </w:r>
                          <w:r>
                            <w:rPr>
                              <w:color w:val="CE3736"/>
                            </w:rPr>
                            <w:fldChar w:fldCharType="separate"/>
                          </w:r>
                          <w:r w:rsidR="003B15C0">
                            <w:rPr>
                              <w:noProof/>
                              <w:color w:val="CE3736"/>
                            </w:rPr>
                            <w:t>3</w:t>
                          </w:r>
                          <w:r>
                            <w:rPr>
                              <w:color w:val="CE3736"/>
                            </w:rPr>
                            <w:fldChar w:fldCharType="end"/>
                          </w:r>
                        </w:p>
                        <w:p w14:paraId="097638A1" w14:textId="77777777" w:rsidR="00840E4F" w:rsidRDefault="00840E4F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DDC5D" id="Obdélník 1" o:spid="_x0000_s1026" style="position:absolute;margin-left:441.8pt;margin-top:-8.85pt;width:53pt;height:51.85pt;z-index:-503316466;visibility:visible;mso-wrap-style:square;mso-width-percent:0;mso-height-percent:0;mso-wrap-distance-left:0;mso-wrap-distance-top:0;mso-wrap-distance-right:.05pt;mso-wrap-distance-bottom: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" fillcolor="white [3201]" stroked="f" strokeweight=".5pt">
              <v:textbox>
                <w:txbxContent>
                  <w:p w14:paraId="4AC883D4" w14:textId="1052455F" w:rsidR="00840E4F" w:rsidRDefault="00A664CA">
                    <w:pPr>
                      <w:pStyle w:val="Obsahrmce"/>
                      <w:jc w:val="right"/>
                      <w:rPr>
                        <w:color w:val="CE3736"/>
                        <w:sz w:val="24"/>
                        <w:szCs w:val="24"/>
                      </w:rPr>
                    </w:pPr>
                    <w:r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rFonts w:eastAsia="Open Sans Light" w:cs="Arial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  </w:t>
                    </w:r>
                    <w:r>
                      <w:rPr>
                        <w:color w:val="000000" w:themeColor="text1"/>
                      </w:rPr>
                      <w:fldChar w:fldCharType="begin"/>
                    </w:r>
                    <w:r>
                      <w:rPr>
                        <w:color w:val="000000" w:themeColor="text1"/>
                      </w:rPr>
                      <w:instrText xml:space="preserve"> PAGE \* ARABIC </w:instrText>
                    </w:r>
                    <w:r>
                      <w:rPr>
                        <w:color w:val="000000" w:themeColor="text1"/>
                      </w:rPr>
                      <w:fldChar w:fldCharType="separate"/>
                    </w:r>
                    <w:r>
                      <w:rPr>
                        <w:color w:val="000000" w:themeColor="text1"/>
                      </w:rPr>
                      <w:t>1</w:t>
                    </w:r>
                    <w:r>
                      <w:rPr>
                        <w:color w:val="000000" w:themeColor="text1"/>
                      </w:rPr>
                      <w:fldChar w:fldCharType="end"/>
                    </w:r>
                    <w:r>
                      <w:rPr>
                        <w:color w:val="CE3736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color w:val="CE3736"/>
                      </w:rPr>
                      <w:instrText>SECTIONPAGES  \* MERGEFORMAT</w:instrText>
                    </w:r>
                    <w:r>
                      <w:rPr>
                        <w:color w:val="CE3736"/>
                      </w:rPr>
                      <w:fldChar w:fldCharType="separate"/>
                    </w:r>
                    <w:r w:rsidR="003B15C0">
                      <w:rPr>
                        <w:noProof/>
                        <w:color w:val="CE3736"/>
                      </w:rPr>
                      <w:t>3</w:t>
                    </w:r>
                    <w:r>
                      <w:rPr>
                        <w:color w:val="CE3736"/>
                      </w:rPr>
                      <w:fldChar w:fldCharType="end"/>
                    </w:r>
                  </w:p>
                  <w:p w14:paraId="097638A1" w14:textId="77777777" w:rsidR="00840E4F" w:rsidRDefault="00840E4F">
                    <w:pPr>
                      <w:pStyle w:val="Obsahrmce"/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EF6089">
      <w:rPr>
        <w:noProof/>
      </w:rPr>
      <w:drawing>
        <wp:inline distT="0" distB="0" distL="0" distR="0" wp14:anchorId="3A6AC201" wp14:editId="2CA1806C">
          <wp:extent cx="3432810" cy="493395"/>
          <wp:effectExtent l="0" t="0" r="0" b="0"/>
          <wp:docPr id="1766553068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281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6089">
      <w:rPr>
        <w:rFonts w:eastAsia="Open Sans Light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0515" w14:textId="77777777" w:rsidR="00D80EF0" w:rsidRDefault="00D80EF0">
      <w:pPr>
        <w:spacing w:line="240" w:lineRule="auto"/>
      </w:pPr>
      <w:r>
        <w:separator/>
      </w:r>
    </w:p>
  </w:footnote>
  <w:footnote w:type="continuationSeparator" w:id="0">
    <w:p w14:paraId="17A201FF" w14:textId="77777777" w:rsidR="00D80EF0" w:rsidRDefault="00D80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F932" w14:textId="3C9E9D6B" w:rsidR="00840E4F" w:rsidRDefault="00A664C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4884548E" wp14:editId="0B3649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334750" cy="16040100"/>
              <wp:effectExtent l="0" t="0" r="0" b="0"/>
              <wp:wrapNone/>
              <wp:docPr id="1589222741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34750" cy="160401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B042D" id="Obdélník 3" o:spid="_x0000_s1026" style="position:absolute;margin-left:0;margin-top:0;width:892.5pt;height:1263pt;z-index:-503316478;visibility:visible;mso-wrap-style:square;mso-width-percent:0;mso-height-percent:0;mso-wrap-distance-left:0;mso-wrap-distance-top:0;mso-wrap-distance-right:0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" o:allowincell="f" filled="f" stroked="f" strokeweight="0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3175" distL="0" distR="0" simplePos="0" relativeHeight="3" behindDoc="1" locked="0" layoutInCell="0" allowOverlap="1" wp14:anchorId="27D98767" wp14:editId="67EEE3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0"/>
              <wp:wrapNone/>
              <wp:docPr id="964209895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0C894" id="Obdélník 2" o:spid="_x0000_s1026" style="position:absolute;margin-left:0;margin-top:0;width:595pt;height:842pt;z-index:-503316477;visibility:visible;mso-wrap-style:square;mso-width-percent:0;mso-height-percent:0;mso-wrap-distance-left:0;mso-wrap-distance-top:0;mso-wrap-distance-right:0;mso-wrap-distance-bottom:.25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" o:allowincell="f" filled="f" stroked="f" strokeweight="0">
              <w10:wrap anchorx="margin" anchory="margin"/>
            </v:rect>
          </w:pict>
        </mc:Fallback>
      </mc:AlternateContent>
    </w:r>
    <w:r w:rsidR="00EF6089">
      <w:rPr>
        <w:noProof/>
      </w:rPr>
      <w:drawing>
        <wp:anchor distT="0" distB="0" distL="0" distR="0" simplePos="0" relativeHeight="4" behindDoc="1" locked="0" layoutInCell="0" allowOverlap="1" wp14:anchorId="36D8377D" wp14:editId="1FD599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34750" cy="16040100"/>
          <wp:effectExtent l="0" t="0" r="0" b="0"/>
          <wp:wrapNone/>
          <wp:docPr id="1136280630" name="WordPictureWatermark6127223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61272234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1334600" cy="1604016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5" behindDoc="1" locked="0" layoutInCell="0" allowOverlap="1" wp14:anchorId="6075E8A0" wp14:editId="266A2D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02125" cy="24060150"/>
          <wp:effectExtent l="0" t="0" r="0" b="0"/>
          <wp:wrapNone/>
          <wp:docPr id="1670945280" name="WordPictureWatermark6127537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61275374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7002080" cy="24060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6" behindDoc="1" locked="0" layoutInCell="0" allowOverlap="1" wp14:anchorId="525A8666" wp14:editId="75E2D3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02125" cy="24060150"/>
          <wp:effectExtent l="0" t="0" r="0" b="0"/>
          <wp:wrapNone/>
          <wp:docPr id="1485764374" name="WordPictureWatermark6127895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612789589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7002080" cy="24060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7" behindDoc="1" locked="0" layoutInCell="0" allowOverlap="1" wp14:anchorId="19D66E78" wp14:editId="5258B1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445625" cy="13366750"/>
          <wp:effectExtent l="0" t="0" r="0" b="0"/>
          <wp:wrapNone/>
          <wp:docPr id="1738118714" name="WordPictureWatermark613700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61370092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9445680" cy="1336680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8" behindDoc="1" locked="0" layoutInCell="0" allowOverlap="1" wp14:anchorId="2FAFDEF8" wp14:editId="090997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445625" cy="13366750"/>
          <wp:effectExtent l="0" t="0" r="0" b="0"/>
          <wp:wrapNone/>
          <wp:docPr id="485435018" name="WordPictureWatermark61372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613729749"/>
                  <pic:cNvPicPr/>
                </pic:nvPicPr>
                <pic:blipFill>
                  <a:blip r:embed="rId2">
                    <a:lum bright="70000" contrast="-70000"/>
                  </a:blip>
                  <a:stretch/>
                </pic:blipFill>
                <pic:spPr>
                  <a:xfrm>
                    <a:off x="0" y="0"/>
                    <a:ext cx="9445680" cy="1336680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9" behindDoc="1" locked="0" layoutInCell="0" allowOverlap="1" wp14:anchorId="4FFA67D4" wp14:editId="546E03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2495" cy="6683375"/>
          <wp:effectExtent l="0" t="0" r="0" b="0"/>
          <wp:wrapNone/>
          <wp:docPr id="560005532" name="WordPictureWatermark6137586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613758624"/>
                  <pic:cNvPicPr/>
                </pic:nvPicPr>
                <pic:blipFill>
                  <a:blip r:embed="rId2">
                    <a:lum bright="70000" contrast="-70000"/>
                  </a:blip>
                  <a:stretch/>
                </pic:blipFill>
                <pic:spPr>
                  <a:xfrm>
                    <a:off x="0" y="0"/>
                    <a:ext cx="4722480" cy="668340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10" behindDoc="1" locked="0" layoutInCell="0" allowOverlap="1" wp14:anchorId="1B96F294" wp14:editId="08E4E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00745" cy="12030075"/>
          <wp:effectExtent l="0" t="0" r="0" b="0"/>
          <wp:wrapNone/>
          <wp:docPr id="1429232513" name="WordPictureWatermark6137779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ordPictureWatermark613777997"/>
                  <pic:cNvPicPr/>
                </pic:nvPicPr>
                <pic:blipFill>
                  <a:blip r:embed="rId2">
                    <a:lum bright="70000" contrast="-70000"/>
                  </a:blip>
                  <a:stretch/>
                </pic:blipFill>
                <pic:spPr>
                  <a:xfrm>
                    <a:off x="0" y="0"/>
                    <a:ext cx="8500680" cy="120301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11" behindDoc="1" locked="0" layoutInCell="0" allowOverlap="1" wp14:anchorId="4FAE74A8" wp14:editId="72BE29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331901401" name="WordPictureWatermark613800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PictureWatermark61380030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7556400" cy="106934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12" behindDoc="1" locked="0" layoutInCell="0" allowOverlap="1" wp14:anchorId="045D003D" wp14:editId="7EDEE2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33900" cy="6416040"/>
          <wp:effectExtent l="0" t="0" r="0" b="0"/>
          <wp:wrapNone/>
          <wp:docPr id="613718673" name="WordPictureWatermark6140189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614018973"/>
                  <pic:cNvPicPr/>
                </pic:nvPicPr>
                <pic:blipFill>
                  <a:blip r:embed="rId3">
                    <a:lum bright="70000" contrast="-70000"/>
                  </a:blip>
                  <a:stretch/>
                </pic:blipFill>
                <pic:spPr>
                  <a:xfrm>
                    <a:off x="0" y="0"/>
                    <a:ext cx="4533840" cy="64159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  <w:r w:rsidR="00EF6089">
      <w:rPr>
        <w:noProof/>
      </w:rPr>
      <w:drawing>
        <wp:anchor distT="0" distB="0" distL="0" distR="0" simplePos="0" relativeHeight="13" behindDoc="1" locked="0" layoutInCell="0" allowOverlap="1" wp14:anchorId="47A14743" wp14:editId="1137C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174514823" name="WordPictureWatermark6141099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PictureWatermark614109969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7556400" cy="106934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86C2" w14:textId="77777777" w:rsidR="00840E4F" w:rsidRDefault="00840E4F"/>
  <w:p w14:paraId="037AC208" w14:textId="77777777" w:rsidR="00840E4F" w:rsidRDefault="00840E4F">
    <w:pPr>
      <w:rPr>
        <w:sz w:val="13"/>
        <w:szCs w:val="13"/>
      </w:rPr>
    </w:pPr>
  </w:p>
  <w:p w14:paraId="1772628F" w14:textId="77777777" w:rsidR="00840E4F" w:rsidRDefault="00A664CA">
    <w:pPr>
      <w:pStyle w:val="Zhlav"/>
    </w:pPr>
    <w:r>
      <w:rPr>
        <w:noProof/>
      </w:rPr>
      <w:drawing>
        <wp:inline distT="0" distB="0" distL="0" distR="0" wp14:anchorId="234AA6BA" wp14:editId="01EAE8B1">
          <wp:extent cx="6721475" cy="737870"/>
          <wp:effectExtent l="0" t="0" r="0" b="0"/>
          <wp:docPr id="155453455" name="Grafický 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cký objek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14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3BBD87" w14:textId="77777777" w:rsidR="00840E4F" w:rsidRDefault="00840E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D029" w14:textId="77777777" w:rsidR="00840E4F" w:rsidRDefault="00840E4F"/>
  <w:p w14:paraId="183170C4" w14:textId="77777777" w:rsidR="00840E4F" w:rsidRDefault="00840E4F">
    <w:pPr>
      <w:rPr>
        <w:sz w:val="13"/>
        <w:szCs w:val="13"/>
      </w:rPr>
    </w:pPr>
  </w:p>
  <w:p w14:paraId="3BBFC7B3" w14:textId="77777777" w:rsidR="00840E4F" w:rsidRDefault="00A664CA">
    <w:pPr>
      <w:tabs>
        <w:tab w:val="center" w:pos="4153"/>
        <w:tab w:val="right" w:pos="8306"/>
      </w:tabs>
      <w:spacing w:line="360" w:lineRule="auto"/>
    </w:pPr>
    <w:r>
      <w:rPr>
        <w:noProof/>
      </w:rPr>
      <w:drawing>
        <wp:inline distT="0" distB="0" distL="0" distR="0" wp14:anchorId="2BED8DD7" wp14:editId="53674C25">
          <wp:extent cx="6728460" cy="739140"/>
          <wp:effectExtent l="0" t="0" r="0" b="0"/>
          <wp:docPr id="255757986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cký objek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84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865"/>
    <w:multiLevelType w:val="multilevel"/>
    <w:tmpl w:val="156C13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710E49"/>
    <w:multiLevelType w:val="multilevel"/>
    <w:tmpl w:val="55086D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35775570">
    <w:abstractNumId w:val="1"/>
  </w:num>
  <w:num w:numId="2" w16cid:durableId="3632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4F"/>
    <w:rsid w:val="00113292"/>
    <w:rsid w:val="0019086E"/>
    <w:rsid w:val="001C068B"/>
    <w:rsid w:val="002354D7"/>
    <w:rsid w:val="00255201"/>
    <w:rsid w:val="00330C84"/>
    <w:rsid w:val="003B15C0"/>
    <w:rsid w:val="00661F16"/>
    <w:rsid w:val="00671CC8"/>
    <w:rsid w:val="00840E4F"/>
    <w:rsid w:val="008D2512"/>
    <w:rsid w:val="00A441B1"/>
    <w:rsid w:val="00A664CA"/>
    <w:rsid w:val="00AB046B"/>
    <w:rsid w:val="00AC0F97"/>
    <w:rsid w:val="00CE349B"/>
    <w:rsid w:val="00D80EF0"/>
    <w:rsid w:val="00E45555"/>
    <w:rsid w:val="00EF6089"/>
    <w:rsid w:val="00F748DB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D302A"/>
  <w15:docId w15:val="{0F998FC4-8A34-4888-A23E-921C9C0E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ADE"/>
    <w:pPr>
      <w:spacing w:line="281" w:lineRule="auto"/>
    </w:pPr>
    <w:rPr>
      <w:rFonts w:ascii="Arial" w:eastAsia="Open Sans" w:hAnsi="Arial" w:cs="Open Sans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4ADE"/>
    <w:pPr>
      <w:outlineLvl w:val="2"/>
    </w:pPr>
    <w:rPr>
      <w:b/>
      <w:color w:val="CE3736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B34ADE"/>
    <w:rPr>
      <w:rFonts w:ascii="Arial" w:eastAsia="Open Sans" w:hAnsi="Arial" w:cs="Open Sans"/>
      <w:b/>
      <w:color w:val="CE3736"/>
      <w:sz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B34ADE"/>
    <w:rPr>
      <w:rFonts w:ascii="Arial" w:eastAsia="Open Sans" w:hAnsi="Arial" w:cs="Open Sans"/>
      <w:b/>
      <w:color w:val="CE3736"/>
      <w:sz w:val="48"/>
      <w:szCs w:val="7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34ADE"/>
    <w:rPr>
      <w:rFonts w:ascii="Arial" w:eastAsia="Open Sans" w:hAnsi="Arial" w:cs="Open Sans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34ADE"/>
    <w:rPr>
      <w:rFonts w:ascii="Arial" w:eastAsia="Open Sans" w:hAnsi="Arial" w:cs="Open Sans"/>
      <w:lang w:eastAsia="cs-CZ"/>
    </w:rPr>
  </w:style>
  <w:style w:type="character" w:customStyle="1" w:styleId="erven">
    <w:name w:val="Červené"/>
    <w:basedOn w:val="Standardnpsmoodstavce"/>
    <w:uiPriority w:val="1"/>
    <w:qFormat/>
    <w:rsid w:val="00B34ADE"/>
    <w:rPr>
      <w:color w:val="4472C4" w:themeColor="accent1"/>
    </w:rPr>
  </w:style>
  <w:style w:type="character" w:styleId="Siln">
    <w:name w:val="Strong"/>
    <w:basedOn w:val="Standardnpsmoodstavce"/>
    <w:uiPriority w:val="22"/>
    <w:qFormat/>
    <w:rsid w:val="00B34AD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E2BE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E2BE2"/>
    <w:rPr>
      <w:rFonts w:ascii="Arial" w:eastAsia="Open Sans" w:hAnsi="Arial" w:cs="Open Sans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E2BE2"/>
    <w:rPr>
      <w:rFonts w:ascii="Arial" w:eastAsia="Open Sans" w:hAnsi="Arial" w:cs="Open Sans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6368"/>
    <w:rPr>
      <w:rFonts w:ascii="Segoe UI" w:eastAsia="Open Sans" w:hAnsi="Segoe UI" w:cs="Segoe UI"/>
      <w:sz w:val="18"/>
      <w:szCs w:val="18"/>
      <w:lang w:eastAsia="cs-CZ"/>
    </w:rPr>
  </w:style>
  <w:style w:type="character" w:customStyle="1" w:styleId="cf01">
    <w:name w:val="cf01"/>
    <w:basedOn w:val="Standardnpsmoodstavce"/>
    <w:qFormat/>
    <w:rsid w:val="007B4D54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35CD8"/>
    <w:rPr>
      <w:i/>
      <w:iCs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B34ADE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34ADE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B34ADE"/>
    <w:pPr>
      <w:tabs>
        <w:tab w:val="center" w:pos="4536"/>
        <w:tab w:val="right" w:pos="9072"/>
      </w:tabs>
      <w:spacing w:line="240" w:lineRule="auto"/>
    </w:pPr>
  </w:style>
  <w:style w:type="paragraph" w:styleId="Odstavecseseznamem">
    <w:name w:val="List Paragraph"/>
    <w:basedOn w:val="Normln"/>
    <w:uiPriority w:val="72"/>
    <w:qFormat/>
    <w:rsid w:val="00B34AD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FE2BE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E2BE2"/>
    <w:rPr>
      <w:b/>
      <w:bCs/>
    </w:rPr>
  </w:style>
  <w:style w:type="paragraph" w:styleId="Revize">
    <w:name w:val="Revision"/>
    <w:uiPriority w:val="99"/>
    <w:semiHidden/>
    <w:qFormat/>
    <w:rsid w:val="00FE2BE2"/>
    <w:rPr>
      <w:rFonts w:ascii="Arial" w:eastAsia="Open Sans" w:hAnsi="Arial" w:cs="Open Sans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636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ln"/>
    <w:qFormat/>
    <w:rsid w:val="007B4D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D35C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B34ADE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CA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932fe-0fcd-45fb-9035-ddb0b12121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CEC7A9D89FD42AFFD59B619FB9BD0" ma:contentTypeVersion="13" ma:contentTypeDescription="Vytvoří nový dokument" ma:contentTypeScope="" ma:versionID="8b91ed340eff4259c38584b2078459c1">
  <xsd:schema xmlns:xsd="http://www.w3.org/2001/XMLSchema" xmlns:xs="http://www.w3.org/2001/XMLSchema" xmlns:p="http://schemas.microsoft.com/office/2006/metadata/properties" xmlns:ns3="5d5932fe-0fcd-45fb-9035-ddb0b12121f6" xmlns:ns4="793e1206-6f7b-4ecc-a6a1-bdded5206864" targetNamespace="http://schemas.microsoft.com/office/2006/metadata/properties" ma:root="true" ma:fieldsID="35bbb81102ed6f1e6c2f41823b0c00ef" ns3:_="" ns4:_="">
    <xsd:import namespace="5d5932fe-0fcd-45fb-9035-ddb0b12121f6"/>
    <xsd:import namespace="793e1206-6f7b-4ecc-a6a1-bdded5206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32fe-0fcd-45fb-9035-ddb0b1212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e1206-6f7b-4ecc-a6a1-bdded5206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4DEDF-FDA7-4015-9375-6D0EE06CC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8393E-B2B4-487F-8B1D-DC6C2D59C3DD}">
  <ds:schemaRefs>
    <ds:schemaRef ds:uri="http://schemas.microsoft.com/office/2006/metadata/properties"/>
    <ds:schemaRef ds:uri="http://schemas.microsoft.com/office/infopath/2007/PartnerControls"/>
    <ds:schemaRef ds:uri="5d5932fe-0fcd-45fb-9035-ddb0b12121f6"/>
  </ds:schemaRefs>
</ds:datastoreItem>
</file>

<file path=customXml/itemProps3.xml><?xml version="1.0" encoding="utf-8"?>
<ds:datastoreItem xmlns:ds="http://schemas.openxmlformats.org/officeDocument/2006/customXml" ds:itemID="{FE922262-613C-45F9-AB00-6F64720B3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EC9A6-1BA9-4E23-A3D7-0143BCB40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32fe-0fcd-45fb-9035-ddb0b12121f6"/>
    <ds:schemaRef ds:uri="793e1206-6f7b-4ecc-a6a1-bdded5206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3021</Characters>
  <Application>Microsoft Office Word</Application>
  <DocSecurity>0</DocSecurity>
  <Lines>25</Lines>
  <Paragraphs>7</Paragraphs>
  <ScaleCrop>false</ScaleCrop>
  <Company>Narodni technicka knihovna projekt CARDS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Sekyrová</dc:creator>
  <dc:description/>
  <cp:lastModifiedBy>Kateřina Choutková</cp:lastModifiedBy>
  <cp:revision>15</cp:revision>
  <dcterms:created xsi:type="dcterms:W3CDTF">2025-07-29T11:01:00Z</dcterms:created>
  <dcterms:modified xsi:type="dcterms:W3CDTF">2025-07-31T08:10:00Z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0x010100B82CEC7A9D89FD42AFFD59B619FB9BD0</vt:lpwstr>
  </property>
  <property fmtid="{D5CDD505-2E9C-101B-9397-08002B2CF9AE}" pid="3" name="GrammarlyDocumentId">
    <vt:lpwstr>dbfc912c-ef04-45da-83c1-9cb9e2733314</vt:lpwstr>
  </property>
</Properties>
</file>