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lineRule="auto" w:line="276" w:before="480" w:after="240"/>
        <w:rPr>
          <w:color w:val="00000A"/>
          <w:lang w:val="cs-CZ"/>
        </w:rPr>
      </w:pPr>
      <w:r>
        <w:rPr>
          <w:color w:val="00000A"/>
          <w:lang w:val="cs-CZ"/>
        </w:rPr>
        <w:t>Smlouva o společném zadávání veřejné zakázky na informační systém "Správní informační systém"</w:t>
      </w:r>
    </w:p>
    <w:p>
      <w:pPr>
        <w:pStyle w:val="FirstParagraph"/>
        <w:spacing w:lineRule="auto" w:line="276"/>
        <w:rPr>
          <w:color w:val="00000A"/>
          <w:lang w:val="cs-CZ"/>
        </w:rPr>
      </w:pPr>
      <w:r>
        <w:rPr>
          <w:b/>
          <w:color w:val="00000A"/>
          <w:lang w:val="cs-CZ"/>
        </w:rPr>
        <w:t>uzavřená dle ust. § 7 odst. 2 zákona č. 134/2016 Sb., o zadávání veřejných zakázek, ve znění pozdějších předpisů, a dle zákona č. 89/2012 Sb., občanského zákoníku</w:t>
      </w:r>
    </w:p>
    <w:p>
      <w:pPr>
        <w:pStyle w:val="TextBody"/>
        <w:spacing w:lineRule="auto" w:line="276" w:before="0" w:after="0"/>
        <w:rPr>
          <w:color w:val="00000A"/>
          <w:lang w:val="cs-CZ"/>
        </w:rPr>
      </w:pPr>
      <w:r>
        <w:rPr>
          <w:b/>
          <w:color w:val="00000A"/>
          <w:lang w:val="cs-CZ"/>
        </w:rPr>
        <w:t>Institut plánování a rozvoje hlavního města Prahy, příspěvková organizace</w:t>
      </w:r>
    </w:p>
    <w:p>
      <w:pPr>
        <w:pStyle w:val="TextBody"/>
        <w:spacing w:lineRule="auto" w:line="276" w:before="0" w:after="0"/>
        <w:rPr>
          <w:color w:val="00000A"/>
          <w:lang w:val="cs-CZ"/>
        </w:rPr>
      </w:pPr>
      <w:r>
        <w:rPr>
          <w:color w:val="00000A"/>
          <w:lang w:val="cs-CZ"/>
        </w:rPr>
        <w:t>se sídlem: Vyšehradská 57, 128 00 Praha 2</w:t>
      </w:r>
    </w:p>
    <w:p>
      <w:pPr>
        <w:pStyle w:val="TextBody"/>
        <w:spacing w:lineRule="auto" w:line="276" w:before="0" w:after="0"/>
        <w:rPr>
          <w:color w:val="00000A"/>
          <w:lang w:val="cs-CZ"/>
        </w:rPr>
      </w:pPr>
      <w:r>
        <w:rPr>
          <w:color w:val="00000A"/>
          <w:lang w:val="cs-CZ"/>
        </w:rPr>
        <w:t>zastoupený: Mgr. Ondřejem Boháčem, ředitelem</w:t>
      </w:r>
    </w:p>
    <w:p>
      <w:pPr>
        <w:pStyle w:val="TextBody"/>
        <w:spacing w:lineRule="auto" w:line="276" w:before="0" w:after="0"/>
        <w:rPr>
          <w:color w:val="00000A"/>
          <w:lang w:val="cs-CZ"/>
        </w:rPr>
      </w:pPr>
      <w:r>
        <w:rPr>
          <w:color w:val="00000A"/>
          <w:lang w:val="cs-CZ"/>
        </w:rPr>
        <w:t>IČO: 70883858</w:t>
      </w:r>
    </w:p>
    <w:p>
      <w:pPr>
        <w:pStyle w:val="TextBody"/>
        <w:spacing w:lineRule="auto" w:line="276" w:before="0" w:after="0"/>
        <w:rPr>
          <w:color w:val="00000A"/>
          <w:lang w:val="cs-CZ"/>
        </w:rPr>
      </w:pPr>
      <w:r>
        <w:rPr>
          <w:color w:val="00000A"/>
          <w:lang w:val="cs-CZ"/>
        </w:rPr>
        <w:t>DIČ: CZ70883858</w:t>
      </w:r>
    </w:p>
    <w:p>
      <w:pPr>
        <w:pStyle w:val="TextBody"/>
        <w:spacing w:lineRule="auto" w:line="276" w:before="0" w:after="0"/>
        <w:rPr>
          <w:color w:val="00000A"/>
          <w:lang w:val="cs-CZ"/>
        </w:rPr>
      </w:pPr>
      <w:r>
        <w:rPr>
          <w:color w:val="00000A"/>
          <w:lang w:val="cs-CZ"/>
        </w:rPr>
        <w:t>bankovní spojení: PPF banka a.s.</w:t>
      </w:r>
    </w:p>
    <w:p>
      <w:pPr>
        <w:pStyle w:val="TextBody"/>
        <w:spacing w:lineRule="auto" w:line="276" w:before="0" w:after="0"/>
        <w:rPr>
          <w:color w:val="00000A"/>
          <w:lang w:val="cs-CZ"/>
        </w:rPr>
      </w:pPr>
      <w:r>
        <w:rPr>
          <w:color w:val="00000A"/>
          <w:lang w:val="cs-CZ"/>
        </w:rPr>
        <w:t>č. účtu: 2015340111/6000</w:t>
      </w:r>
    </w:p>
    <w:p>
      <w:pPr>
        <w:pStyle w:val="TextBody"/>
        <w:spacing w:lineRule="auto" w:line="276" w:before="0" w:after="0"/>
        <w:rPr>
          <w:color w:val="00000A"/>
          <w:lang w:val="cs-CZ"/>
        </w:rPr>
      </w:pPr>
      <w:r>
        <w:rPr>
          <w:color w:val="00000A"/>
          <w:lang w:val="cs-CZ"/>
        </w:rPr>
        <w:t>(dále jen "IPR Praha")</w:t>
      </w:r>
    </w:p>
    <w:p>
      <w:pPr>
        <w:pStyle w:val="TextBody"/>
        <w:spacing w:lineRule="auto" w:line="276" w:before="0" w:after="0"/>
        <w:rPr>
          <w:color w:val="00000A"/>
          <w:lang w:val="cs-CZ"/>
        </w:rPr>
      </w:pPr>
      <w:r>
        <w:rPr>
          <w:color w:val="00000A"/>
          <w:lang w:val="cs-CZ"/>
        </w:rPr>
        <w:t>a</w:t>
      </w:r>
    </w:p>
    <w:p>
      <w:pPr>
        <w:pStyle w:val="TextBody"/>
        <w:spacing w:lineRule="auto" w:line="276" w:before="0" w:after="0"/>
        <w:rPr>
          <w:color w:val="00000A"/>
          <w:lang w:val="cs-CZ"/>
        </w:rPr>
      </w:pPr>
      <w:r>
        <w:rPr>
          <w:b/>
          <w:color w:val="00000A"/>
          <w:lang w:val="cs-CZ"/>
        </w:rPr>
        <w:t>Národní technická knihovna, příspěvková organizace</w:t>
      </w:r>
    </w:p>
    <w:p>
      <w:pPr>
        <w:pStyle w:val="TextBody"/>
        <w:spacing w:lineRule="auto" w:line="276" w:before="0" w:after="0"/>
        <w:rPr>
          <w:color w:val="00000A"/>
          <w:lang w:val="cs-CZ"/>
        </w:rPr>
      </w:pPr>
      <w:r>
        <w:rPr>
          <w:color w:val="00000A"/>
          <w:lang w:val="cs-CZ"/>
        </w:rPr>
        <w:t>se sídlem: Technická 6/2710, 160 80 Praha 6</w:t>
      </w:r>
    </w:p>
    <w:p>
      <w:pPr>
        <w:pStyle w:val="TextBody"/>
        <w:spacing w:lineRule="auto" w:line="276" w:before="0" w:after="0"/>
        <w:rPr>
          <w:color w:val="00000A"/>
          <w:lang w:val="cs-CZ"/>
        </w:rPr>
      </w:pPr>
      <w:r>
        <w:rPr>
          <w:color w:val="00000A"/>
          <w:lang w:val="cs-CZ"/>
        </w:rPr>
        <w:t>zastoupená: Ing. Martinem Svobodou, ředitelem</w:t>
      </w:r>
    </w:p>
    <w:p>
      <w:pPr>
        <w:pStyle w:val="TextBody"/>
        <w:spacing w:lineRule="auto" w:line="276" w:before="0" w:after="0"/>
        <w:rPr>
          <w:color w:val="00000A"/>
          <w:lang w:val="cs-CZ"/>
        </w:rPr>
      </w:pPr>
      <w:r>
        <w:rPr>
          <w:color w:val="00000A"/>
          <w:lang w:val="cs-CZ"/>
        </w:rPr>
        <w:t>IČO: 61387142</w:t>
      </w:r>
    </w:p>
    <w:p>
      <w:pPr>
        <w:pStyle w:val="TextBody"/>
        <w:spacing w:lineRule="auto" w:line="276" w:before="0" w:after="0"/>
        <w:rPr>
          <w:color w:val="00000A"/>
          <w:lang w:val="cs-CZ"/>
        </w:rPr>
      </w:pPr>
      <w:r>
        <w:rPr>
          <w:color w:val="00000A"/>
          <w:lang w:val="cs-CZ"/>
        </w:rPr>
        <w:t>DIČ: CZ61387142</w:t>
      </w:r>
    </w:p>
    <w:p>
      <w:pPr>
        <w:pStyle w:val="TextBody"/>
        <w:spacing w:lineRule="auto" w:line="276" w:before="0" w:after="0"/>
        <w:rPr>
          <w:color w:val="00000A"/>
          <w:lang w:val="cs-CZ"/>
        </w:rPr>
      </w:pPr>
      <w:r>
        <w:rPr>
          <w:color w:val="00000A"/>
          <w:lang w:val="cs-CZ"/>
        </w:rPr>
        <w:t>bankovní spojení: ČNB</w:t>
      </w:r>
    </w:p>
    <w:p>
      <w:pPr>
        <w:pStyle w:val="TextBody"/>
        <w:spacing w:lineRule="auto" w:line="276" w:before="0" w:after="0"/>
        <w:rPr>
          <w:color w:val="00000A"/>
          <w:lang w:val="cs-CZ"/>
        </w:rPr>
      </w:pPr>
      <w:r>
        <w:rPr>
          <w:color w:val="00000A"/>
          <w:lang w:val="cs-CZ"/>
        </w:rPr>
        <w:t>číslo účtu: 8032031/0710</w:t>
      </w:r>
    </w:p>
    <w:p>
      <w:pPr>
        <w:pStyle w:val="TextBody"/>
        <w:spacing w:lineRule="auto" w:line="276" w:before="0" w:after="0"/>
        <w:rPr>
          <w:color w:val="00000A"/>
          <w:lang w:val="cs-CZ"/>
        </w:rPr>
      </w:pPr>
      <w:r>
        <w:rPr>
          <w:color w:val="00000A"/>
          <w:lang w:val="cs-CZ"/>
        </w:rPr>
        <w:t>(dále jen "NTK")</w:t>
      </w:r>
    </w:p>
    <w:p>
      <w:pPr>
        <w:pStyle w:val="TextBody"/>
        <w:spacing w:lineRule="auto" w:line="276" w:before="0" w:after="0"/>
        <w:rPr>
          <w:color w:val="00000A"/>
          <w:lang w:val="cs-CZ"/>
        </w:rPr>
      </w:pPr>
      <w:r>
        <w:rPr>
          <w:color w:val="00000A"/>
          <w:lang w:val="cs-CZ"/>
        </w:rPr>
        <w:t>IPR Praha a NTK společně označovány dále též jako "smluvní strany"</w:t>
      </w:r>
    </w:p>
    <w:p>
      <w:pPr>
        <w:pStyle w:val="TextBody"/>
        <w:spacing w:lineRule="auto" w:line="276" w:before="0" w:after="0"/>
        <w:rPr>
          <w:color w:val="00000A"/>
          <w:lang w:val="cs-CZ"/>
        </w:rPr>
      </w:pPr>
      <w:r>
        <w:rPr>
          <w:color w:val="00000A"/>
          <w:lang w:val="cs-CZ"/>
        </w:rPr>
        <w:t>uzavírají níže uvedeného dne, měsíce a roku tuto smlouvu:</w:t>
      </w:r>
    </w:p>
    <w:p>
      <w:pPr>
        <w:pStyle w:val="TextBody"/>
        <w:spacing w:lineRule="auto" w:line="276" w:before="0" w:after="0"/>
        <w:rPr>
          <w:color w:val="00000A"/>
          <w:lang w:val="cs-CZ"/>
        </w:rPr>
      </w:pPr>
      <w:r>
        <w:rPr>
          <w:color w:val="00000A"/>
          <w:lang w:val="cs-CZ"/>
        </w:rPr>
      </w:r>
    </w:p>
    <w:p>
      <w:pPr>
        <w:pStyle w:val="Heading2"/>
        <w:spacing w:lineRule="auto" w:line="276" w:before="0" w:after="120"/>
        <w:jc w:val="center"/>
        <w:rPr>
          <w:color w:val="00000A"/>
          <w:lang w:val="cs-CZ"/>
        </w:rPr>
      </w:pPr>
      <w:bookmarkStart w:id="0" w:name="i.-úvodní-ustanovení"/>
      <w:bookmarkEnd w:id="0"/>
      <w:r>
        <w:rPr>
          <w:color w:val="00000A"/>
          <w:lang w:val="cs-CZ"/>
        </w:rPr>
        <w:t>I. Úvodní ustanovení</w:t>
      </w:r>
    </w:p>
    <w:p>
      <w:pPr>
        <w:pStyle w:val="Normal"/>
        <w:numPr>
          <w:ilvl w:val="0"/>
          <w:numId w:val="2"/>
        </w:numPr>
        <w:spacing w:lineRule="auto" w:line="276" w:before="0" w:after="120"/>
        <w:jc w:val="both"/>
        <w:rPr>
          <w:color w:val="00000A"/>
          <w:lang w:val="cs-CZ"/>
        </w:rPr>
      </w:pPr>
      <w:r>
        <w:rPr>
          <w:color w:val="00000A"/>
          <w:lang w:val="cs-CZ"/>
        </w:rPr>
        <w:t>Smluvní strany této smlouvy, jakožto veřejní zadavatelé ve smyslu ust. § 4 odst. 1 písm. c) a d) zákona č. 134/2016 Sb., o zadávání veřejných zakázek, ve znění platném ke dni uzavření smlouvy (dále jen "ZZVZ"), mají společný zájem na výběru a dodávce informačního systému správních agend s označením "Správní informační systém" (dále jen "informační systém").</w:t>
      </w:r>
    </w:p>
    <w:p>
      <w:pPr>
        <w:pStyle w:val="Normal"/>
        <w:numPr>
          <w:ilvl w:val="0"/>
          <w:numId w:val="2"/>
        </w:numPr>
        <w:spacing w:lineRule="auto" w:line="276" w:before="0" w:after="120"/>
        <w:jc w:val="both"/>
        <w:rPr>
          <w:color w:val="00000A"/>
          <w:lang w:val="cs-CZ"/>
        </w:rPr>
      </w:pPr>
      <w:r>
        <w:rPr>
          <w:color w:val="00000A"/>
          <w:lang w:val="cs-CZ"/>
        </w:rPr>
        <w:t>K dosažení společného cíle, jímž je uvedení informačního systému do provozu a zajištění jeho podpory na následující pětileté období, se smluvní strany prostřednictvím této smlouvy dohodly ve smyslu ust. § 7 odst. 2 ZZVZ na společném postupu při zadávání dále vymezené veřejné zakázky související s projektem.</w:t>
      </w:r>
    </w:p>
    <w:p>
      <w:pPr>
        <w:pStyle w:val="Normal"/>
        <w:numPr>
          <w:ilvl w:val="0"/>
          <w:numId w:val="2"/>
        </w:numPr>
        <w:spacing w:lineRule="auto" w:line="276" w:before="0" w:after="120"/>
        <w:jc w:val="both"/>
        <w:rPr>
          <w:color w:val="00000A"/>
          <w:lang w:val="cs-CZ"/>
        </w:rPr>
      </w:pPr>
      <w:r>
        <w:rPr>
          <w:color w:val="00000A"/>
          <w:lang w:val="cs-CZ"/>
        </w:rPr>
        <w:t>Smluvní strany prohlašují, že jsou k provádění předmětu smlouvy oprávněny v plném rozsahu.</w:t>
      </w:r>
    </w:p>
    <w:p>
      <w:pPr>
        <w:pStyle w:val="Heading2"/>
        <w:spacing w:lineRule="auto" w:line="276" w:before="0" w:after="120"/>
        <w:jc w:val="center"/>
        <w:rPr>
          <w:color w:val="00000A"/>
          <w:lang w:val="cs-CZ"/>
        </w:rPr>
      </w:pPr>
      <w:bookmarkStart w:id="1" w:name="ii.-předmět-smlouvy"/>
      <w:bookmarkEnd w:id="1"/>
      <w:r>
        <w:rPr>
          <w:color w:val="00000A"/>
          <w:lang w:val="cs-CZ"/>
        </w:rPr>
        <w:t>II. Předmět smlouvy</w:t>
      </w:r>
    </w:p>
    <w:p>
      <w:pPr>
        <w:pStyle w:val="Normal"/>
        <w:numPr>
          <w:ilvl w:val="0"/>
          <w:numId w:val="3"/>
        </w:numPr>
        <w:spacing w:lineRule="auto" w:line="276" w:before="0" w:after="120"/>
        <w:jc w:val="both"/>
        <w:rPr>
          <w:color w:val="00000A"/>
          <w:lang w:val="cs-CZ"/>
        </w:rPr>
      </w:pPr>
      <w:r>
        <w:rPr>
          <w:color w:val="00000A"/>
          <w:lang w:val="cs-CZ"/>
        </w:rPr>
        <w:t>Předmětem této smlouvy je úprava vzájemných práv a povinností obou smluvních stran při společném zadávání a plnění dále specifikované veřejné zakázky (dále jen "veřejná zakázka"), vymezení společného postupu a stanovení odpovědnosti vyplývající ze společného postupu a způsobu společného jednání vůči třetím osobám.</w:t>
      </w:r>
    </w:p>
    <w:p>
      <w:pPr>
        <w:pStyle w:val="Normal"/>
        <w:numPr>
          <w:ilvl w:val="0"/>
          <w:numId w:val="3"/>
        </w:numPr>
        <w:spacing w:lineRule="auto" w:line="276" w:before="0" w:after="120"/>
        <w:jc w:val="both"/>
        <w:rPr>
          <w:color w:val="00000A"/>
          <w:lang w:val="cs-CZ"/>
        </w:rPr>
      </w:pPr>
      <w:r>
        <w:rPr>
          <w:color w:val="00000A"/>
          <w:lang w:val="cs-CZ"/>
        </w:rPr>
        <w:t>Smluvní strany spolupracují ve smyslu této smlouvy na zadávání veřejné zakázky, jejímž předmětem bude uzavření smlouvy na</w:t>
      </w:r>
    </w:p>
    <w:p>
      <w:pPr>
        <w:pStyle w:val="Compact"/>
        <w:numPr>
          <w:ilvl w:val="1"/>
          <w:numId w:val="4"/>
        </w:numPr>
        <w:spacing w:lineRule="auto" w:line="276" w:before="0" w:after="120"/>
        <w:jc w:val="both"/>
        <w:rPr>
          <w:color w:val="00000A"/>
        </w:rPr>
      </w:pPr>
      <w:r>
        <w:rPr>
          <w:color w:val="00000A"/>
          <w:lang w:val="cs-CZ"/>
        </w:rPr>
        <w:t>vývoj informačního systému,</w:t>
      </w:r>
    </w:p>
    <w:p>
      <w:pPr>
        <w:pStyle w:val="Compact"/>
        <w:numPr>
          <w:ilvl w:val="1"/>
          <w:numId w:val="4"/>
        </w:numPr>
        <w:spacing w:lineRule="auto" w:line="276" w:before="0" w:after="120"/>
        <w:jc w:val="both"/>
        <w:rPr>
          <w:color w:val="00000A"/>
        </w:rPr>
      </w:pPr>
      <w:r>
        <w:rPr>
          <w:color w:val="00000A"/>
          <w:lang w:val="cs-CZ"/>
        </w:rPr>
        <w:t>nasazení informačního systému,</w:t>
      </w:r>
    </w:p>
    <w:p>
      <w:pPr>
        <w:pStyle w:val="Compact"/>
        <w:numPr>
          <w:ilvl w:val="1"/>
          <w:numId w:val="4"/>
        </w:numPr>
        <w:spacing w:lineRule="auto" w:line="276" w:before="0" w:after="120"/>
        <w:jc w:val="both"/>
        <w:rPr>
          <w:color w:val="00000A"/>
          <w:lang w:val="cs-CZ"/>
        </w:rPr>
      </w:pPr>
      <w:r>
        <w:rPr>
          <w:color w:val="00000A"/>
          <w:lang w:val="cs-CZ"/>
        </w:rPr>
        <w:t>podpora informačního systému po dobu 5 let,</w:t>
      </w:r>
    </w:p>
    <w:p>
      <w:pPr>
        <w:pStyle w:val="Compact"/>
        <w:numPr>
          <w:ilvl w:val="1"/>
          <w:numId w:val="4"/>
        </w:numPr>
        <w:spacing w:lineRule="auto" w:line="276" w:before="0" w:after="120"/>
        <w:jc w:val="both"/>
        <w:rPr>
          <w:color w:val="00000A"/>
          <w:lang w:val="cs-CZ"/>
        </w:rPr>
      </w:pPr>
      <w:r>
        <w:rPr>
          <w:color w:val="00000A"/>
          <w:lang w:val="cs-CZ"/>
        </w:rPr>
        <w:t>rozvoj informačního systému.</w:t>
      </w:r>
    </w:p>
    <w:p>
      <w:pPr>
        <w:pStyle w:val="Normal"/>
        <w:numPr>
          <w:ilvl w:val="0"/>
          <w:numId w:val="3"/>
        </w:numPr>
        <w:spacing w:lineRule="auto" w:line="276" w:before="0" w:after="120"/>
        <w:jc w:val="both"/>
        <w:rPr>
          <w:color w:val="00000A"/>
          <w:lang w:val="cs-CZ"/>
        </w:rPr>
      </w:pPr>
      <w:r>
        <w:rPr>
          <w:color w:val="00000A"/>
          <w:lang w:val="cs-CZ"/>
        </w:rPr>
        <w:t>Veřejná zakázka</w:t>
      </w:r>
    </w:p>
    <w:p>
      <w:pPr>
        <w:pStyle w:val="Compact"/>
        <w:numPr>
          <w:ilvl w:val="1"/>
          <w:numId w:val="5"/>
        </w:numPr>
        <w:spacing w:lineRule="auto" w:line="276" w:before="0" w:after="120"/>
        <w:jc w:val="both"/>
        <w:rPr>
          <w:color w:val="00000A"/>
          <w:lang w:val="cs-CZ"/>
        </w:rPr>
      </w:pPr>
      <w:r>
        <w:rPr>
          <w:color w:val="00000A"/>
          <w:lang w:val="cs-CZ"/>
        </w:rPr>
        <w:t>bude zadávána v nadlimitním režimu,</w:t>
      </w:r>
    </w:p>
    <w:p>
      <w:pPr>
        <w:pStyle w:val="Compact"/>
        <w:numPr>
          <w:ilvl w:val="1"/>
          <w:numId w:val="5"/>
        </w:numPr>
        <w:spacing w:lineRule="auto" w:line="276" w:before="0" w:after="120"/>
        <w:jc w:val="both"/>
        <w:rPr>
          <w:color w:val="00000A"/>
          <w:lang w:val="cs-CZ"/>
        </w:rPr>
      </w:pPr>
      <w:r>
        <w:rPr>
          <w:color w:val="00000A"/>
          <w:lang w:val="cs-CZ"/>
        </w:rPr>
        <w:t>je veřejnou zakázkou na dodávky,</w:t>
      </w:r>
    </w:p>
    <w:p>
      <w:pPr>
        <w:pStyle w:val="Compact"/>
        <w:numPr>
          <w:ilvl w:val="1"/>
          <w:numId w:val="5"/>
        </w:numPr>
        <w:spacing w:lineRule="auto" w:line="276" w:before="0" w:after="120"/>
        <w:jc w:val="both"/>
        <w:rPr>
          <w:color w:val="00000A"/>
          <w:lang w:val="cs-CZ"/>
        </w:rPr>
      </w:pPr>
      <w:r>
        <w:rPr>
          <w:color w:val="00000A"/>
          <w:lang w:val="cs-CZ"/>
        </w:rPr>
        <w:t>bude zadávána prostřednictvím jednacího řízení s uveřejněním.</w:t>
      </w:r>
    </w:p>
    <w:p>
      <w:pPr>
        <w:pStyle w:val="Normal"/>
        <w:numPr>
          <w:ilvl w:val="0"/>
          <w:numId w:val="3"/>
        </w:numPr>
        <w:spacing w:lineRule="auto" w:line="276" w:before="0" w:after="120"/>
        <w:jc w:val="both"/>
        <w:rPr>
          <w:color w:val="00000A"/>
          <w:lang w:val="cs-CZ"/>
        </w:rPr>
      </w:pPr>
      <w:r>
        <w:rPr>
          <w:color w:val="00000A"/>
          <w:lang w:val="cs-CZ"/>
        </w:rPr>
        <w:t>Předpokládaná hodnota veřejné zakázky bude stanovena před zahájením zadávacího řízení.</w:t>
      </w:r>
    </w:p>
    <w:p>
      <w:pPr>
        <w:pStyle w:val="Normal"/>
        <w:numPr>
          <w:ilvl w:val="0"/>
          <w:numId w:val="3"/>
        </w:numPr>
        <w:spacing w:lineRule="auto" w:line="276" w:before="0" w:after="120"/>
        <w:jc w:val="both"/>
        <w:rPr>
          <w:color w:val="00000A"/>
          <w:lang w:val="cs-CZ"/>
        </w:rPr>
      </w:pPr>
      <w:r>
        <w:rPr>
          <w:color w:val="00000A"/>
          <w:lang w:val="cs-CZ"/>
        </w:rPr>
        <w:t>Veřejná zakázka bude zadávána podle zákona č. 134/2016 Sb., o zadávání veřejných zakázek, ve znění platném ke dni zahájení zadávacího řízení. V zadávacím řízení bude též přihlédnuto ke směrnici Ministerstva školství, mládeže a tělovýchovy č. j. 33367/2016-1 o zadávání veřejných zakázek organizací v působnosti Ministerstva školství, mládeže a tělovýchovy.</w:t>
      </w:r>
    </w:p>
    <w:p>
      <w:pPr>
        <w:pStyle w:val="Normal"/>
        <w:numPr>
          <w:ilvl w:val="0"/>
          <w:numId w:val="3"/>
        </w:numPr>
        <w:spacing w:lineRule="auto" w:line="276" w:before="0" w:after="120"/>
        <w:jc w:val="both"/>
        <w:rPr>
          <w:color w:val="00000A"/>
          <w:lang w:val="cs-CZ"/>
        </w:rPr>
      </w:pPr>
      <w:r>
        <w:rPr>
          <w:color w:val="00000A"/>
          <w:lang w:val="cs-CZ"/>
        </w:rPr>
        <w:t>Smluvní strany požadují výhradní časově a teritoriálně neomezenou licenci k předmětu veřejné zakázky. Smluvní strany se dále shodly, že výsledné dílo bude zveřejněno pod některou z licencí schválených OSI (Open Source Initiative). Konkrétní použitá licence bude předmětem dohody smluvních stran.</w:t>
      </w:r>
    </w:p>
    <w:p>
      <w:pPr>
        <w:pStyle w:val="Heading2"/>
        <w:spacing w:lineRule="auto" w:line="276" w:before="0" w:after="120"/>
        <w:jc w:val="center"/>
        <w:rPr>
          <w:color w:val="00000A"/>
          <w:lang w:val="cs-CZ"/>
        </w:rPr>
      </w:pPr>
      <w:r>
        <w:rPr/>
      </w:r>
    </w:p>
    <w:p>
      <w:pPr>
        <w:pStyle w:val="Heading2"/>
        <w:spacing w:lineRule="auto" w:line="276" w:before="0" w:after="120"/>
        <w:jc w:val="center"/>
        <w:rPr>
          <w:color w:val="00000A"/>
          <w:lang w:val="cs-CZ"/>
        </w:rPr>
      </w:pPr>
      <w:bookmarkStart w:id="2" w:name="iii.-provádění-předmětu-smlouvy"/>
      <w:bookmarkEnd w:id="2"/>
      <w:r>
        <w:rPr>
          <w:color w:val="00000A"/>
          <w:lang w:val="cs-CZ"/>
        </w:rPr>
        <w:t>III. Provádění předmětu smlouvy</w:t>
      </w:r>
    </w:p>
    <w:p>
      <w:pPr>
        <w:pStyle w:val="Normal"/>
        <w:numPr>
          <w:ilvl w:val="0"/>
          <w:numId w:val="6"/>
        </w:numPr>
        <w:spacing w:lineRule="auto" w:line="276" w:before="0" w:after="120"/>
        <w:jc w:val="both"/>
        <w:rPr>
          <w:color w:val="00000A"/>
          <w:lang w:val="cs-CZ"/>
        </w:rPr>
      </w:pPr>
      <w:r>
        <w:rPr>
          <w:color w:val="00000A"/>
          <w:lang w:val="cs-CZ"/>
        </w:rPr>
        <w:t>Smluvní strany společný postup při zadávání veřejné zakázky rozdělily na následující fáze</w:t>
      </w:r>
    </w:p>
    <w:p>
      <w:pPr>
        <w:pStyle w:val="Normal"/>
        <w:numPr>
          <w:ilvl w:val="1"/>
          <w:numId w:val="7"/>
        </w:numPr>
        <w:spacing w:lineRule="auto" w:line="276" w:before="0" w:after="120"/>
        <w:jc w:val="both"/>
        <w:rPr>
          <w:color w:val="00000A"/>
          <w:lang w:val="cs-CZ"/>
        </w:rPr>
      </w:pPr>
      <w:r>
        <w:rPr>
          <w:color w:val="00000A"/>
          <w:lang w:val="cs-CZ"/>
        </w:rPr>
        <w:t>fáze spočívající v přípravě, organizaci, posouzení a vyhodnocení předběžných tržních konzultací vedených za účelem doladění zadávací dokumentace;</w:t>
      </w:r>
    </w:p>
    <w:p>
      <w:pPr>
        <w:pStyle w:val="Normal"/>
        <w:numPr>
          <w:ilvl w:val="1"/>
          <w:numId w:val="7"/>
        </w:numPr>
        <w:spacing w:lineRule="auto" w:line="276" w:before="0" w:after="120"/>
        <w:jc w:val="both"/>
        <w:rPr>
          <w:color w:val="00000A"/>
          <w:lang w:val="cs-CZ"/>
        </w:rPr>
      </w:pPr>
      <w:r>
        <w:rPr>
          <w:color w:val="00000A"/>
          <w:lang w:val="cs-CZ"/>
        </w:rPr>
        <w:t>fáze spočívající ve vypracování zadávacích podmínek, zahájení jednacího řízení s uveřejněním oznámení s výzvou neomezenému počtu dodavatelů k podání žádosti o účast a posouzení souladu žádostí o účast se zadávacími podmínkami a případné provedení snížení počtu účastníků zadávacího řízení;</w:t>
      </w:r>
    </w:p>
    <w:p>
      <w:pPr>
        <w:pStyle w:val="Normal"/>
        <w:numPr>
          <w:ilvl w:val="1"/>
          <w:numId w:val="7"/>
        </w:numPr>
        <w:spacing w:lineRule="auto" w:line="276" w:before="0" w:after="120"/>
        <w:jc w:val="both"/>
        <w:rPr>
          <w:color w:val="00000A"/>
          <w:lang w:val="cs-CZ"/>
        </w:rPr>
      </w:pPr>
      <w:r>
        <w:rPr>
          <w:color w:val="00000A"/>
          <w:lang w:val="cs-CZ"/>
        </w:rPr>
        <w:t>fáze spočívající ve vedení jednacího řízení s uveřejněním s cílem nalézt řešení způsobilá splnit potřeby zadavatele a přípravě rozhodnutí, zda jsou předložená řešení vhodná;</w:t>
      </w:r>
    </w:p>
    <w:p>
      <w:pPr>
        <w:pStyle w:val="Normal"/>
        <w:numPr>
          <w:ilvl w:val="1"/>
          <w:numId w:val="7"/>
        </w:numPr>
        <w:spacing w:lineRule="auto" w:line="276" w:before="0" w:after="120"/>
        <w:jc w:val="both"/>
        <w:rPr>
          <w:color w:val="00000A"/>
          <w:lang w:val="cs-CZ"/>
        </w:rPr>
      </w:pPr>
      <w:r>
        <w:rPr>
          <w:color w:val="00000A"/>
          <w:lang w:val="cs-CZ"/>
        </w:rPr>
        <w:t>fáze spočívající ve vypracování a odeslání výzvy účastníkům zadávacího řízení k podání nabídek na nalezená řešení a dalších činnostech vedoucích až k ukončení zadávacího řízení (zejm. uzavření smlouvy na plnění veřejné zakázky).</w:t>
      </w:r>
    </w:p>
    <w:p>
      <w:pPr>
        <w:pStyle w:val="Normal"/>
        <w:numPr>
          <w:ilvl w:val="0"/>
          <w:numId w:val="6"/>
        </w:numPr>
        <w:spacing w:lineRule="auto" w:line="276" w:before="0" w:after="120"/>
        <w:jc w:val="both"/>
        <w:rPr>
          <w:color w:val="00000A"/>
          <w:lang w:val="cs-CZ"/>
        </w:rPr>
      </w:pPr>
      <w:r>
        <w:rPr>
          <w:color w:val="00000A"/>
          <w:lang w:val="cs-CZ"/>
        </w:rPr>
        <w:t>Smluvní strany se dohodly, že IPR Praha bude provádět svým jménem a na svůj účet 1., 2. a 3. fázi společného postupu, a že NTK bude provádět svým jménem a na svůj účet 0. fázi společného postupu. Tato skutečnost bude uvedena i v zadávacích podmínkách.</w:t>
      </w:r>
    </w:p>
    <w:p>
      <w:pPr>
        <w:pStyle w:val="Normal"/>
        <w:numPr>
          <w:ilvl w:val="0"/>
          <w:numId w:val="6"/>
        </w:numPr>
        <w:spacing w:lineRule="auto" w:line="276" w:before="0" w:after="120"/>
        <w:jc w:val="both"/>
        <w:rPr>
          <w:color w:val="00000A"/>
          <w:lang w:val="cs-CZ"/>
        </w:rPr>
      </w:pPr>
      <w:r>
        <w:rPr>
          <w:color w:val="00000A"/>
          <w:lang w:val="cs-CZ"/>
        </w:rPr>
        <w:t>Smluvní strany se vzájemně zavazují poskytovat si součinnost při provádění společného postupu podle této smlouvy, přičemž rámcové vymezení společného postupu tvoří přílohu č. 1 této smlouvy.</w:t>
      </w:r>
    </w:p>
    <w:p>
      <w:pPr>
        <w:pStyle w:val="Normal"/>
        <w:numPr>
          <w:ilvl w:val="0"/>
          <w:numId w:val="6"/>
        </w:numPr>
        <w:spacing w:lineRule="auto" w:line="276" w:before="0" w:after="120"/>
        <w:jc w:val="both"/>
        <w:rPr>
          <w:color w:val="00000A"/>
          <w:lang w:val="cs-CZ"/>
        </w:rPr>
      </w:pPr>
      <w:r>
        <w:rPr>
          <w:color w:val="00000A"/>
          <w:lang w:val="cs-CZ"/>
        </w:rPr>
        <w:t>Předpokládaný harmonogram společného postupu při provádění předmětu této smlouvy tvoří její přílohu č. 2.</w:t>
      </w:r>
    </w:p>
    <w:p>
      <w:pPr>
        <w:pStyle w:val="Compact"/>
        <w:numPr>
          <w:ilvl w:val="0"/>
          <w:numId w:val="6"/>
        </w:numPr>
        <w:spacing w:lineRule="auto" w:line="276" w:before="0" w:after="120"/>
        <w:jc w:val="both"/>
        <w:rPr>
          <w:color w:val="00000A"/>
          <w:lang w:val="cs-CZ"/>
        </w:rPr>
      </w:pPr>
      <w:r>
        <w:rPr>
          <w:color w:val="00000A"/>
          <w:lang w:val="cs-CZ"/>
        </w:rPr>
        <w:t>Náklady spojené s veřejnou zakázkou budou smluvní strany hradit následujícím způsobem:</w:t>
      </w:r>
    </w:p>
    <w:p>
      <w:pPr>
        <w:pStyle w:val="Compact"/>
        <w:numPr>
          <w:ilvl w:val="1"/>
          <w:numId w:val="8"/>
        </w:numPr>
        <w:spacing w:lineRule="auto" w:line="276" w:before="0" w:after="120"/>
        <w:jc w:val="both"/>
        <w:rPr>
          <w:color w:val="00000A"/>
          <w:lang w:val="cs-CZ"/>
        </w:rPr>
      </w:pPr>
      <w:r>
        <w:rPr>
          <w:color w:val="00000A"/>
          <w:lang w:val="cs-CZ"/>
        </w:rPr>
        <w:t>část předmětu smlouvy dle čl. II. odst. 2 písm. a) vývoj informačního systému budou hradit smluvní strany rovným dílem,</w:t>
      </w:r>
    </w:p>
    <w:p>
      <w:pPr>
        <w:pStyle w:val="Compact"/>
        <w:numPr>
          <w:ilvl w:val="1"/>
          <w:numId w:val="8"/>
        </w:numPr>
        <w:spacing w:lineRule="auto" w:line="276" w:before="0" w:after="120"/>
        <w:jc w:val="both"/>
        <w:rPr>
          <w:color w:val="00000A"/>
          <w:lang w:val="cs-CZ"/>
        </w:rPr>
      </w:pPr>
      <w:r>
        <w:rPr>
          <w:color w:val="00000A"/>
          <w:lang w:val="cs-CZ"/>
        </w:rPr>
        <w:t>část předmětu smlouvy dle čl. II. odst. 2 písm. b) nasazení informačního systému bude každá smluvní strana hradit sama,</w:t>
      </w:r>
    </w:p>
    <w:p>
      <w:pPr>
        <w:pStyle w:val="Compact"/>
        <w:numPr>
          <w:ilvl w:val="1"/>
          <w:numId w:val="8"/>
        </w:numPr>
        <w:spacing w:lineRule="auto" w:line="276" w:before="0" w:after="120"/>
        <w:jc w:val="both"/>
        <w:rPr>
          <w:color w:val="00000A"/>
          <w:lang w:val="cs-CZ"/>
        </w:rPr>
      </w:pPr>
      <w:r>
        <w:rPr>
          <w:color w:val="00000A"/>
          <w:lang w:val="cs-CZ"/>
        </w:rPr>
        <w:t>část předmětu smlouvy dle čl. II. odst. 2 písm. c) podporu informačního systému po dobu 5 let bude každá smluvní strana hradit sama dle svých požadavků na helpdesk,</w:t>
      </w:r>
    </w:p>
    <w:p>
      <w:pPr>
        <w:pStyle w:val="Compact"/>
        <w:numPr>
          <w:ilvl w:val="1"/>
          <w:numId w:val="8"/>
        </w:numPr>
        <w:spacing w:lineRule="auto" w:line="276" w:before="0" w:after="120"/>
        <w:jc w:val="both"/>
        <w:rPr>
          <w:color w:val="00000A"/>
          <w:lang w:val="cs-CZ"/>
        </w:rPr>
      </w:pPr>
      <w:r>
        <w:rPr>
          <w:color w:val="00000A"/>
          <w:lang w:val="cs-CZ"/>
        </w:rPr>
        <w:t>část předmětu smlouvy dle čl. II. odst. 2 písm. d) rozvoj informačního systému budou hradit smluvní strany rovným dílem.</w:t>
      </w:r>
    </w:p>
    <w:p>
      <w:pPr>
        <w:pStyle w:val="Compact"/>
        <w:numPr>
          <w:ilvl w:val="0"/>
          <w:numId w:val="6"/>
        </w:numPr>
        <w:spacing w:lineRule="auto" w:line="276" w:before="0" w:after="120"/>
        <w:jc w:val="both"/>
        <w:rPr>
          <w:color w:val="00000A"/>
          <w:lang w:val="cs-CZ"/>
        </w:rPr>
      </w:pPr>
      <w:r>
        <w:rPr>
          <w:color w:val="00000A"/>
          <w:lang w:val="cs-CZ"/>
        </w:rPr>
        <w:t>Po ukončení zadávacího řízení budou smluvní strany jednat následujícím způsobem:</w:t>
      </w:r>
    </w:p>
    <w:p>
      <w:pPr>
        <w:pStyle w:val="Compact"/>
        <w:numPr>
          <w:ilvl w:val="1"/>
          <w:numId w:val="9"/>
        </w:numPr>
        <w:spacing w:lineRule="auto" w:line="276" w:before="0" w:after="120"/>
        <w:jc w:val="both"/>
        <w:rPr>
          <w:color w:val="00000A"/>
          <w:lang w:val="cs-CZ"/>
        </w:rPr>
      </w:pPr>
      <w:r>
        <w:rPr>
          <w:color w:val="00000A"/>
          <w:lang w:val="cs-CZ"/>
        </w:rPr>
        <w:t>část předmětu smlouvy dle čl. II. odst. 2 písm. a) bude za smluvní strany, včetně jednotlivých dílčích výstupů, přebírat akceptační komise a to až do zahájení ostrého provozu informačního systému,</w:t>
      </w:r>
    </w:p>
    <w:p>
      <w:pPr>
        <w:pStyle w:val="Compact"/>
        <w:numPr>
          <w:ilvl w:val="1"/>
          <w:numId w:val="9"/>
        </w:numPr>
        <w:spacing w:lineRule="auto" w:line="276" w:before="0" w:after="120"/>
        <w:jc w:val="both"/>
        <w:rPr>
          <w:color w:val="00000A"/>
          <w:lang w:val="cs-CZ"/>
        </w:rPr>
      </w:pPr>
      <w:r>
        <w:rPr>
          <w:color w:val="00000A"/>
          <w:lang w:val="cs-CZ"/>
        </w:rPr>
        <w:t>část předmětu smlouvy dle čl. II. odst. 2 písm. b) bude každá ze smluvních stran komunikovat s dodavatelem sama,</w:t>
      </w:r>
    </w:p>
    <w:p>
      <w:pPr>
        <w:pStyle w:val="Compact"/>
        <w:numPr>
          <w:ilvl w:val="1"/>
          <w:numId w:val="9"/>
        </w:numPr>
        <w:spacing w:lineRule="auto" w:line="276" w:before="0" w:after="120"/>
        <w:jc w:val="both"/>
        <w:rPr>
          <w:color w:val="00000A"/>
          <w:lang w:val="cs-CZ"/>
        </w:rPr>
      </w:pPr>
      <w:r>
        <w:rPr>
          <w:color w:val="00000A"/>
          <w:lang w:val="cs-CZ"/>
        </w:rPr>
        <w:t>část předmětu smlouvy dle čl. II. odst. 2 písm. c) bude každá ze smluvních stran komunikovat s dodavatelem sama,</w:t>
      </w:r>
    </w:p>
    <w:p>
      <w:pPr>
        <w:pStyle w:val="Compact"/>
        <w:numPr>
          <w:ilvl w:val="1"/>
          <w:numId w:val="9"/>
        </w:numPr>
        <w:spacing w:lineRule="auto" w:line="276" w:before="0" w:after="120"/>
        <w:jc w:val="both"/>
        <w:rPr>
          <w:color w:val="00000A"/>
          <w:lang w:val="cs-CZ"/>
        </w:rPr>
      </w:pPr>
      <w:r>
        <w:rPr>
          <w:color w:val="00000A"/>
          <w:lang w:val="cs-CZ"/>
        </w:rPr>
        <w:t>u části předmětu smlouvy dle čl. II. odst. 2 písm. d) budou smluvní strany postupovat společně prostřednictvím akceptační komise.</w:t>
      </w:r>
    </w:p>
    <w:p>
      <w:pPr>
        <w:pStyle w:val="Normal"/>
        <w:numPr>
          <w:ilvl w:val="0"/>
          <w:numId w:val="6"/>
        </w:numPr>
        <w:spacing w:lineRule="auto" w:line="276" w:before="0" w:after="120"/>
        <w:jc w:val="both"/>
        <w:rPr>
          <w:color w:val="00000A"/>
          <w:lang w:val="cs-CZ"/>
        </w:rPr>
      </w:pPr>
      <w:r>
        <w:rPr>
          <w:color w:val="00000A"/>
          <w:lang w:val="cs-CZ"/>
        </w:rPr>
        <w:t>Za účelem společného postupu smluvní strany pověřují tyto odpovědné osoby</w:t>
      </w:r>
    </w:p>
    <w:p>
      <w:pPr>
        <w:pStyle w:val="Normal"/>
        <w:numPr>
          <w:ilvl w:val="1"/>
          <w:numId w:val="10"/>
        </w:numPr>
        <w:spacing w:lineRule="auto" w:line="276" w:before="0" w:after="120"/>
        <w:jc w:val="both"/>
        <w:rPr>
          <w:color w:val="00000A"/>
          <w:lang w:val="cs-CZ"/>
        </w:rPr>
      </w:pPr>
      <w:r>
        <w:rPr>
          <w:color w:val="00000A"/>
          <w:lang w:val="cs-CZ"/>
        </w:rPr>
        <w:t>Za IPR Praha:</w:t>
      </w:r>
    </w:p>
    <w:p>
      <w:pPr>
        <w:pStyle w:val="Normal"/>
        <w:numPr>
          <w:ilvl w:val="1"/>
          <w:numId w:val="1"/>
        </w:numPr>
        <w:spacing w:lineRule="auto" w:line="276" w:before="0" w:after="120"/>
        <w:jc w:val="both"/>
        <w:rPr>
          <w:color w:val="00000A"/>
          <w:lang w:val="cs-CZ"/>
        </w:rPr>
      </w:pPr>
      <w:r>
        <w:rPr>
          <w:color w:val="00000A"/>
          <w:lang w:val="cs-CZ"/>
        </w:rPr>
        <w:t>Lukáš Marek, Jan Kratochvíl a Martina Hájková, Sekce právní a ekonomická</w:t>
      </w:r>
    </w:p>
    <w:p>
      <w:pPr>
        <w:pStyle w:val="Normal"/>
        <w:numPr>
          <w:ilvl w:val="1"/>
          <w:numId w:val="1"/>
        </w:numPr>
        <w:spacing w:lineRule="auto" w:line="276" w:before="0" w:after="120"/>
        <w:jc w:val="both"/>
        <w:rPr>
          <w:color w:val="00000A"/>
          <w:lang w:val="cs-CZ"/>
        </w:rPr>
      </w:pPr>
      <w:r>
        <w:rPr>
          <w:color w:val="00000A"/>
          <w:lang w:val="cs-CZ"/>
        </w:rPr>
        <w:t>Jiří Čtyroký a Lucie Prunarová, Sekce prostorových informací</w:t>
      </w:r>
    </w:p>
    <w:p>
      <w:pPr>
        <w:pStyle w:val="Normal"/>
        <w:numPr>
          <w:ilvl w:val="1"/>
          <w:numId w:val="1"/>
        </w:numPr>
        <w:spacing w:lineRule="auto" w:line="276" w:before="0" w:after="120"/>
        <w:jc w:val="both"/>
        <w:rPr>
          <w:color w:val="00000A"/>
          <w:lang w:val="cs-CZ"/>
        </w:rPr>
      </w:pPr>
      <w:r>
        <w:rPr>
          <w:color w:val="00000A"/>
          <w:lang w:val="cs-CZ"/>
        </w:rPr>
        <w:t>Jan Pravňanský a Daniel Szkorbisz, Sekce provozní</w:t>
      </w:r>
    </w:p>
    <w:p>
      <w:pPr>
        <w:pStyle w:val="Normal"/>
        <w:numPr>
          <w:ilvl w:val="1"/>
          <w:numId w:val="10"/>
        </w:numPr>
        <w:spacing w:lineRule="auto" w:line="276" w:before="0" w:after="120"/>
        <w:jc w:val="both"/>
        <w:rPr>
          <w:color w:val="00000A"/>
          <w:lang w:val="cs-CZ"/>
        </w:rPr>
      </w:pPr>
      <w:r>
        <w:rPr>
          <w:color w:val="00000A"/>
          <w:lang w:val="cs-CZ"/>
        </w:rPr>
        <w:t>Za NTK:</w:t>
      </w:r>
    </w:p>
    <w:p>
      <w:pPr>
        <w:pStyle w:val="Normal"/>
        <w:numPr>
          <w:ilvl w:val="1"/>
          <w:numId w:val="1"/>
        </w:numPr>
        <w:spacing w:lineRule="auto" w:line="276" w:before="0" w:after="120"/>
        <w:jc w:val="both"/>
        <w:rPr>
          <w:color w:val="00000A"/>
          <w:lang w:val="cs-CZ"/>
        </w:rPr>
      </w:pPr>
      <w:r>
        <w:rPr>
          <w:color w:val="00000A"/>
          <w:lang w:val="cs-CZ"/>
        </w:rPr>
        <w:t>Jakub Sháněl, oddělení 51 ICT akvizice a systémové analýzy</w:t>
      </w:r>
    </w:p>
    <w:p>
      <w:pPr>
        <w:pStyle w:val="Normal"/>
        <w:numPr>
          <w:ilvl w:val="1"/>
          <w:numId w:val="1"/>
        </w:numPr>
        <w:spacing w:lineRule="auto" w:line="276" w:before="0" w:after="120"/>
        <w:jc w:val="both"/>
        <w:rPr>
          <w:color w:val="00000A"/>
          <w:lang w:val="cs-CZ"/>
        </w:rPr>
      </w:pPr>
      <w:r>
        <w:rPr>
          <w:color w:val="00000A"/>
          <w:lang w:val="cs-CZ"/>
        </w:rPr>
        <w:t>Adam Skořepa, oddělení 51 ICT akvizice a systémové analýzy</w:t>
      </w:r>
    </w:p>
    <w:p>
      <w:pPr>
        <w:pStyle w:val="Normal"/>
        <w:numPr>
          <w:ilvl w:val="0"/>
          <w:numId w:val="6"/>
        </w:numPr>
        <w:spacing w:lineRule="auto" w:line="276" w:before="0" w:after="120"/>
        <w:jc w:val="both"/>
        <w:rPr>
          <w:color w:val="00000A"/>
          <w:lang w:val="cs-CZ"/>
        </w:rPr>
      </w:pPr>
      <w:r>
        <w:rPr>
          <w:color w:val="00000A"/>
          <w:lang w:val="cs-CZ"/>
        </w:rPr>
        <w:t>Změnu odpovědných osob si jsou smluvní strany povinny bezodkladně oznámit.</w:t>
      </w:r>
    </w:p>
    <w:p>
      <w:pPr>
        <w:pStyle w:val="Normal"/>
        <w:numPr>
          <w:ilvl w:val="0"/>
          <w:numId w:val="6"/>
        </w:numPr>
        <w:spacing w:lineRule="auto" w:line="276" w:before="0" w:after="120"/>
        <w:jc w:val="both"/>
        <w:rPr>
          <w:color w:val="00000A"/>
          <w:lang w:val="cs-CZ"/>
        </w:rPr>
      </w:pPr>
      <w:r>
        <w:rPr>
          <w:color w:val="00000A"/>
          <w:lang w:val="cs-CZ"/>
        </w:rPr>
        <w:t>Smluvní strany se dále dohodly na tom, že</w:t>
      </w:r>
    </w:p>
    <w:p>
      <w:pPr>
        <w:pStyle w:val="Normal"/>
        <w:numPr>
          <w:ilvl w:val="1"/>
          <w:numId w:val="11"/>
        </w:numPr>
        <w:spacing w:lineRule="auto" w:line="276" w:before="0" w:after="120"/>
        <w:jc w:val="both"/>
        <w:rPr>
          <w:color w:val="00000A"/>
          <w:lang w:val="cs-CZ"/>
        </w:rPr>
      </w:pPr>
      <w:r>
        <w:rPr>
          <w:color w:val="00000A"/>
          <w:lang w:val="cs-CZ"/>
        </w:rPr>
        <w:t>dokumentace o zadávacím řízení bude vyhotovena ve dvou stejnopisech s platností originálu, přičemž každá ze smluvní stran obdrží jedno vyhotovení,</w:t>
      </w:r>
    </w:p>
    <w:p>
      <w:pPr>
        <w:pStyle w:val="Normal"/>
        <w:numPr>
          <w:ilvl w:val="1"/>
          <w:numId w:val="11"/>
        </w:numPr>
        <w:spacing w:lineRule="auto" w:line="276" w:before="0" w:after="120"/>
        <w:jc w:val="both"/>
        <w:rPr>
          <w:color w:val="00000A"/>
          <w:lang w:val="cs-CZ"/>
        </w:rPr>
      </w:pPr>
      <w:r>
        <w:rPr>
          <w:color w:val="00000A"/>
          <w:lang w:val="cs-CZ"/>
        </w:rPr>
        <w:t>budou jednat a činit veškerá právní jednání vztahující se k předmětu smlouvy vůči orgánu dohledu společně,</w:t>
      </w:r>
    </w:p>
    <w:p>
      <w:pPr>
        <w:pStyle w:val="Normal"/>
        <w:numPr>
          <w:ilvl w:val="1"/>
          <w:numId w:val="11"/>
        </w:numPr>
        <w:spacing w:lineRule="auto" w:line="276" w:before="0" w:after="120"/>
        <w:jc w:val="both"/>
        <w:rPr>
          <w:color w:val="00000A"/>
          <w:lang w:val="cs-CZ"/>
        </w:rPr>
      </w:pPr>
      <w:r>
        <w:rPr>
          <w:color w:val="00000A"/>
          <w:lang w:val="cs-CZ"/>
        </w:rPr>
        <w:t>každá ze smluvní stran nese samostatně odpovědnost za provádění své části předmětu plnění této smlouvy, tím, však není dotčeno právo žádné ze smluvních stran na náhradu újmy vůči druhé smluvní straně, která svým zaviněným jednáním porušila povinnost vyplývající pro ni z této smlouvy.</w:t>
      </w:r>
    </w:p>
    <w:p>
      <w:pPr>
        <w:pStyle w:val="Normal"/>
        <w:numPr>
          <w:ilvl w:val="0"/>
          <w:numId w:val="6"/>
        </w:numPr>
        <w:spacing w:lineRule="auto" w:line="276" w:before="0" w:after="120"/>
        <w:jc w:val="both"/>
        <w:rPr>
          <w:color w:val="00000A"/>
          <w:lang w:val="cs-CZ"/>
        </w:rPr>
      </w:pPr>
      <w:r>
        <w:rPr>
          <w:color w:val="00000A"/>
          <w:lang w:val="cs-CZ"/>
        </w:rPr>
        <w:t>Smluvní strany se dále dohodly na ustanovení hodnotící komise a akceptační komise, které fungují následovně</w:t>
      </w:r>
    </w:p>
    <w:p>
      <w:pPr>
        <w:pStyle w:val="Normal"/>
        <w:numPr>
          <w:ilvl w:val="1"/>
          <w:numId w:val="12"/>
        </w:numPr>
        <w:spacing w:lineRule="auto" w:line="276" w:before="0" w:after="120"/>
        <w:jc w:val="both"/>
        <w:rPr>
          <w:color w:val="00000A"/>
          <w:lang w:val="cs-CZ"/>
        </w:rPr>
      </w:pPr>
      <w:r>
        <w:rPr>
          <w:color w:val="00000A"/>
          <w:lang w:val="cs-CZ"/>
        </w:rPr>
        <w:t>hodnotící komise je ustanovena v souladu s § 42 zákona č. 134/2016 Sb., o zadávání veřejných zakázek, a účastní se hodnocení a výběru nejvýhodnější nabídky v zadávacím řízení,</w:t>
      </w:r>
    </w:p>
    <w:p>
      <w:pPr>
        <w:pStyle w:val="Normal"/>
        <w:numPr>
          <w:ilvl w:val="1"/>
          <w:numId w:val="12"/>
        </w:numPr>
        <w:spacing w:lineRule="auto" w:line="276" w:before="0" w:after="120"/>
        <w:jc w:val="both"/>
        <w:rPr>
          <w:color w:val="00000A"/>
          <w:lang w:val="cs-CZ"/>
        </w:rPr>
      </w:pPr>
      <w:r>
        <w:rPr>
          <w:color w:val="00000A"/>
          <w:lang w:val="cs-CZ"/>
        </w:rPr>
        <w:t>akceptační komise přebírá od dodavatele jednotlivé etapy plnění zakázky a svým usnesením uděluje souhlas k fakturaci jednotlivých etap.</w:t>
      </w:r>
    </w:p>
    <w:p>
      <w:pPr>
        <w:pStyle w:val="Normal"/>
        <w:numPr>
          <w:ilvl w:val="0"/>
          <w:numId w:val="6"/>
        </w:numPr>
        <w:spacing w:lineRule="auto" w:line="276" w:before="0" w:after="120"/>
        <w:jc w:val="both"/>
        <w:rPr>
          <w:color w:val="00000A"/>
          <w:lang w:val="cs-CZ"/>
        </w:rPr>
      </w:pPr>
      <w:r>
        <w:rPr>
          <w:color w:val="00000A"/>
          <w:lang w:val="cs-CZ"/>
        </w:rPr>
        <w:t>Smluvní strany se dohodly, že každá ze smluvních stran nominuje stejný počet členů do jednotlivých komisí.</w:t>
      </w:r>
    </w:p>
    <w:p>
      <w:pPr>
        <w:pStyle w:val="Heading2"/>
        <w:spacing w:lineRule="auto" w:line="276" w:before="0" w:after="120"/>
        <w:jc w:val="center"/>
        <w:rPr>
          <w:color w:val="00000A"/>
          <w:lang w:val="cs-CZ"/>
        </w:rPr>
      </w:pPr>
      <w:bookmarkStart w:id="3" w:name="iv.-doba-trvání-smlouvy"/>
      <w:bookmarkEnd w:id="3"/>
      <w:r>
        <w:rPr>
          <w:color w:val="00000A"/>
          <w:lang w:val="cs-CZ"/>
        </w:rPr>
        <w:t>IV. Doba trvání smlouvy</w:t>
      </w:r>
    </w:p>
    <w:p>
      <w:pPr>
        <w:pStyle w:val="Normal"/>
        <w:numPr>
          <w:ilvl w:val="0"/>
          <w:numId w:val="13"/>
        </w:numPr>
        <w:spacing w:lineRule="auto" w:line="276" w:before="0" w:after="120"/>
        <w:jc w:val="both"/>
        <w:rPr>
          <w:color w:val="00000A"/>
          <w:lang w:val="cs-CZ"/>
        </w:rPr>
      </w:pPr>
      <w:r>
        <w:rPr>
          <w:color w:val="00000A"/>
          <w:lang w:val="cs-CZ"/>
        </w:rPr>
        <w:t>Tato smlouva se uzavírá na dobu určitou, a to ode dne jejího podpisu oběma smluvními stranami do vypořádání všech závazků ze smlouvy plynoucích.</w:t>
      </w:r>
    </w:p>
    <w:p>
      <w:pPr>
        <w:pStyle w:val="Normal"/>
        <w:numPr>
          <w:ilvl w:val="0"/>
          <w:numId w:val="13"/>
        </w:numPr>
        <w:spacing w:lineRule="auto" w:line="276" w:before="0" w:after="120"/>
        <w:jc w:val="both"/>
        <w:rPr>
          <w:color w:val="00000A"/>
          <w:lang w:val="cs-CZ"/>
        </w:rPr>
      </w:pPr>
      <w:r>
        <w:rPr>
          <w:color w:val="00000A"/>
          <w:lang w:val="cs-CZ"/>
        </w:rPr>
        <w:t>Dobu trvání smlouvy lze dohodou smluvních stran upravit odlišně.</w:t>
      </w:r>
    </w:p>
    <w:p>
      <w:pPr>
        <w:pStyle w:val="Heading2"/>
        <w:spacing w:lineRule="auto" w:line="276" w:before="0" w:after="120"/>
        <w:jc w:val="center"/>
        <w:rPr>
          <w:color w:val="00000A"/>
          <w:lang w:val="cs-CZ"/>
        </w:rPr>
      </w:pPr>
      <w:bookmarkStart w:id="4" w:name="v.-závěrečná-ustanovení"/>
      <w:bookmarkEnd w:id="4"/>
      <w:r>
        <w:rPr>
          <w:color w:val="00000A"/>
          <w:lang w:val="cs-CZ"/>
        </w:rPr>
        <w:t>V. Závěrečná ustanovení</w:t>
      </w:r>
    </w:p>
    <w:p>
      <w:pPr>
        <w:pStyle w:val="Normal"/>
        <w:numPr>
          <w:ilvl w:val="0"/>
          <w:numId w:val="14"/>
        </w:numPr>
        <w:spacing w:lineRule="auto" w:line="276" w:before="0" w:after="120"/>
        <w:jc w:val="both"/>
        <w:rPr>
          <w:color w:val="00000A"/>
          <w:lang w:val="cs-CZ"/>
        </w:rPr>
      </w:pPr>
      <w:r>
        <w:rPr>
          <w:color w:val="00000A"/>
          <w:lang w:val="cs-CZ"/>
        </w:rPr>
        <w:t>Právní vztahy vzniklé z této smlouvy nebo s touto smlouvou související se řídí, pokud z této smlouvy nevyplývá něco jiného, ustanoveními zákona č. 89/2012 Sb., občanského zákoníku, a právním řádem České republiky.</w:t>
      </w:r>
    </w:p>
    <w:p>
      <w:pPr>
        <w:pStyle w:val="Normal"/>
        <w:numPr>
          <w:ilvl w:val="0"/>
          <w:numId w:val="14"/>
        </w:numPr>
        <w:spacing w:lineRule="auto" w:line="276" w:before="0" w:after="120"/>
        <w:jc w:val="both"/>
        <w:rPr>
          <w:color w:val="00000A"/>
          <w:lang w:val="cs-CZ"/>
        </w:rPr>
      </w:pPr>
      <w:r>
        <w:rPr>
          <w:color w:val="00000A"/>
          <w:lang w:val="cs-CZ"/>
        </w:rPr>
        <w:t>V případě, že by se stalo některé ustanovení smlouvy neplatným, zůstávají ostatní ustanovení i nadále v platnosti, ledaže právní předpis stanoví jinak.</w:t>
      </w:r>
    </w:p>
    <w:p>
      <w:pPr>
        <w:pStyle w:val="Normal"/>
        <w:numPr>
          <w:ilvl w:val="0"/>
          <w:numId w:val="14"/>
        </w:numPr>
        <w:spacing w:lineRule="auto" w:line="276" w:before="0" w:after="120"/>
        <w:jc w:val="both"/>
        <w:rPr>
          <w:color w:val="00000A"/>
          <w:lang w:val="cs-CZ"/>
        </w:rPr>
      </w:pPr>
      <w:r>
        <w:rPr>
          <w:color w:val="00000A"/>
          <w:lang w:val="cs-CZ"/>
        </w:rPr>
        <w:t>Práva a povinnosti smluvních stran z této smlouvy přecházejí na jejich právní nástupce.</w:t>
      </w:r>
    </w:p>
    <w:p>
      <w:pPr>
        <w:pStyle w:val="Normal"/>
        <w:numPr>
          <w:ilvl w:val="0"/>
          <w:numId w:val="14"/>
        </w:numPr>
        <w:spacing w:lineRule="auto" w:line="276" w:before="0" w:after="120"/>
        <w:jc w:val="both"/>
        <w:rPr>
          <w:color w:val="00000A"/>
          <w:lang w:val="cs-CZ"/>
        </w:rPr>
      </w:pPr>
      <w:r>
        <w:rPr>
          <w:color w:val="00000A"/>
          <w:lang w:val="cs-CZ"/>
        </w:rPr>
        <w:t>Smluvní strany se zavazují, že všechny informace, které jim byly svěřeny druhou smluvní stranou, nezpřístupní třetím osobám pro účely této smlouvy.</w:t>
      </w:r>
    </w:p>
    <w:p>
      <w:pPr>
        <w:pStyle w:val="Normal"/>
        <w:numPr>
          <w:ilvl w:val="0"/>
          <w:numId w:val="14"/>
        </w:numPr>
        <w:spacing w:lineRule="auto" w:line="276" w:before="0" w:after="120"/>
        <w:jc w:val="both"/>
        <w:rPr>
          <w:color w:val="00000A"/>
          <w:lang w:val="cs-CZ"/>
        </w:rPr>
      </w:pPr>
      <w:r>
        <w:rPr>
          <w:color w:val="00000A"/>
          <w:lang w:val="cs-CZ"/>
        </w:rPr>
        <w:t>Smluvní strany výslovně souhlasí, aby tato smlouva byla zveřejněna v Registru smluv vedeném Ministerstvem vnitra České republiky. Smluvní strany výslovně prohlašují, že skutečnosti uvedené v této smlouvě nepovažují za obchodní tajemství ve smyslu § 504 zákona č. 89/2012 Sb., občanského zákoníku a udělují svolení k jejich užití a zveřejnění bez stanovení jakýchkoliv dalších podmínek. Smlouvu zveřejní NTK.</w:t>
      </w:r>
    </w:p>
    <w:p>
      <w:pPr>
        <w:pStyle w:val="Normal"/>
        <w:numPr>
          <w:ilvl w:val="0"/>
          <w:numId w:val="14"/>
        </w:numPr>
        <w:spacing w:lineRule="auto" w:line="276" w:before="0" w:after="120"/>
        <w:jc w:val="both"/>
        <w:rPr>
          <w:color w:val="00000A"/>
          <w:lang w:val="cs-CZ"/>
        </w:rPr>
      </w:pPr>
      <w:r>
        <w:rPr>
          <w:color w:val="00000A"/>
          <w:lang w:val="cs-CZ"/>
        </w:rPr>
        <w:t>Tuto smlouvu lze měnit, doplňovat nebo rušit pouze písemně, a to vzestupně číslovanými dodatky, podepsanými oběma smluvními stranami.</w:t>
      </w:r>
    </w:p>
    <w:p>
      <w:pPr>
        <w:pStyle w:val="Normal"/>
        <w:numPr>
          <w:ilvl w:val="0"/>
          <w:numId w:val="14"/>
        </w:numPr>
        <w:spacing w:lineRule="auto" w:line="276" w:before="0" w:after="120"/>
        <w:jc w:val="both"/>
        <w:rPr>
          <w:color w:val="00000A"/>
          <w:lang w:val="cs-CZ"/>
        </w:rPr>
      </w:pPr>
      <w:r>
        <w:rPr>
          <w:color w:val="00000A"/>
          <w:lang w:val="cs-CZ"/>
        </w:rPr>
        <w:t>Smluvní strany prohlašují, že tato smlouva byla sepsána na základě pravdivých údajů, že si smlouvu, včetně jejích příloh, pečlivě přečetly a všem ustanovením smlouvy rozumí. Dále prohlašují, že smlouva nebyla uzavřena v tísni ani za jinak jednostranně nevýhodných podmínek. Na důkaz svého souhlasu učiněného vážně a svobodně smlouvu vlastnoručně podepisují.</w:t>
      </w:r>
    </w:p>
    <w:p>
      <w:pPr>
        <w:pStyle w:val="Normal"/>
        <w:numPr>
          <w:ilvl w:val="0"/>
          <w:numId w:val="14"/>
        </w:numPr>
        <w:spacing w:lineRule="auto" w:line="276" w:before="0" w:after="120"/>
        <w:jc w:val="both"/>
        <w:rPr>
          <w:color w:val="00000A"/>
          <w:lang w:val="cs-CZ"/>
        </w:rPr>
      </w:pPr>
      <w:r>
        <w:rPr>
          <w:color w:val="00000A"/>
          <w:lang w:val="cs-CZ"/>
        </w:rPr>
        <w:t>Tato smlouva nabývá platnosti a účinnosti dnem podpisu oběma smluvními stranami.</w:t>
      </w:r>
    </w:p>
    <w:p>
      <w:pPr>
        <w:pStyle w:val="Normal"/>
        <w:numPr>
          <w:ilvl w:val="0"/>
          <w:numId w:val="14"/>
        </w:numPr>
        <w:spacing w:lineRule="auto" w:line="276" w:before="0" w:after="120"/>
        <w:jc w:val="both"/>
        <w:rPr>
          <w:color w:val="00000A"/>
          <w:lang w:val="cs-CZ"/>
        </w:rPr>
      </w:pPr>
      <w:r>
        <w:rPr>
          <w:color w:val="00000A"/>
          <w:lang w:val="cs-CZ"/>
        </w:rPr>
        <w:t>Tato smlouva je vyhotovena ve čtyřech stejnopisech, z nichž každý stejnopis má platnost originálu. Každá ze smluvních stran obdrží po dvou vyhotoveních.</w:t>
      </w:r>
    </w:p>
    <w:p>
      <w:pPr>
        <w:pStyle w:val="FirstParagraph"/>
        <w:spacing w:lineRule="auto" w:line="276"/>
        <w:rPr>
          <w:color w:val="00000A"/>
          <w:lang w:val="cs-CZ"/>
        </w:rPr>
      </w:pPr>
      <w:r>
        <w:rPr>
          <w:color w:val="00000A"/>
          <w:lang w:val="cs-CZ"/>
        </w:rPr>
      </w:r>
    </w:p>
    <w:p>
      <w:pPr>
        <w:pStyle w:val="FirstParagraph"/>
        <w:spacing w:lineRule="auto" w:line="276"/>
        <w:rPr/>
      </w:pPr>
      <w:r>
        <w:rPr>
          <w:color w:val="00000A"/>
          <w:lang w:val="cs-CZ"/>
        </w:rPr>
        <w:t xml:space="preserve">V Praze dne </w:t>
        <w:tab/>
      </w:r>
      <w:r>
        <w:rPr>
          <w:color w:val="00000A"/>
          <w:lang w:val="cs-CZ"/>
        </w:rPr>
        <w:t>18. 07. 2017</w:t>
      </w:r>
      <w:r>
        <w:rPr>
          <w:color w:val="00000A"/>
          <w:lang w:val="cs-CZ"/>
        </w:rPr>
        <w:tab/>
        <w:t xml:space="preserve"> </w:t>
        <w:tab/>
        <w:tab/>
        <w:tab/>
        <w:tab/>
        <w:t xml:space="preserve">V Praze dne  </w:t>
      </w:r>
      <w:r>
        <w:rPr>
          <w:color w:val="00000A"/>
          <w:lang w:val="cs-CZ"/>
        </w:rPr>
        <w:t>16. 08. 2017</w:t>
      </w:r>
    </w:p>
    <w:p>
      <w:pPr>
        <w:pStyle w:val="FirstParagraph"/>
        <w:spacing w:lineRule="auto" w:line="276"/>
        <w:rPr>
          <w:color w:val="00000A"/>
          <w:lang w:val="cs-CZ"/>
        </w:rPr>
      </w:pPr>
      <w:r>
        <w:rPr>
          <w:color w:val="00000A"/>
          <w:lang w:val="cs-CZ"/>
        </w:rPr>
        <w:t xml:space="preserve">za IPR Praha </w:t>
        <w:tab/>
        <w:tab/>
        <w:tab/>
        <w:tab/>
        <w:tab/>
        <w:tab/>
        <w:tab/>
        <w:t>za NTK</w:t>
      </w:r>
    </w:p>
    <w:p>
      <w:pPr>
        <w:pStyle w:val="TextBody"/>
        <w:spacing w:lineRule="auto" w:line="276"/>
        <w:rPr>
          <w:color w:val="00000A"/>
          <w:lang w:val="cs-CZ"/>
        </w:rPr>
      </w:pPr>
      <w:r>
        <w:rPr>
          <w:color w:val="00000A"/>
          <w:lang w:val="cs-CZ"/>
        </w:rPr>
      </w:r>
    </w:p>
    <w:p>
      <w:pPr>
        <w:pStyle w:val="TextBody"/>
        <w:spacing w:lineRule="auto" w:line="276"/>
        <w:rPr>
          <w:color w:val="00000A"/>
          <w:lang w:val="cs-CZ"/>
        </w:rPr>
      </w:pPr>
      <w:r>
        <w:rPr>
          <w:color w:val="00000A"/>
          <w:lang w:val="cs-CZ"/>
        </w:rPr>
      </w:r>
    </w:p>
    <w:p>
      <w:pPr>
        <w:pStyle w:val="TextBody"/>
        <w:spacing w:lineRule="auto" w:line="276"/>
        <w:rPr>
          <w:color w:val="00000A"/>
          <w:lang w:val="cs-CZ"/>
        </w:rPr>
      </w:pPr>
      <w:r>
        <w:rPr>
          <w:color w:val="00000A"/>
          <w:lang w:val="cs-CZ"/>
        </w:rPr>
        <w:t>………………………………………</w:t>
      </w:r>
      <w:r>
        <w:rPr>
          <w:color w:val="00000A"/>
          <w:lang w:val="cs-CZ"/>
        </w:rPr>
        <w:tab/>
        <w:tab/>
        <w:tab/>
        <w:tab/>
        <w:tab/>
        <w:t>………………………………………</w:t>
      </w:r>
    </w:p>
    <w:p>
      <w:pPr>
        <w:pStyle w:val="TextBody"/>
        <w:spacing w:lineRule="auto" w:line="276"/>
        <w:rPr>
          <w:color w:val="00000A"/>
          <w:lang w:val="cs-CZ"/>
        </w:rPr>
      </w:pPr>
      <w:r>
        <w:rPr>
          <w:color w:val="00000A"/>
          <w:lang w:val="cs-CZ"/>
        </w:rPr>
        <w:t xml:space="preserve">Mgr. Ondřej Boháč, ředitel </w:t>
        <w:tab/>
        <w:tab/>
        <w:tab/>
        <w:tab/>
        <w:tab/>
        <w:t>Ing. Martin Svoboda, ředitel</w:t>
      </w:r>
    </w:p>
    <w:p>
      <w:pPr>
        <w:pStyle w:val="Heading1"/>
        <w:spacing w:lineRule="auto" w:line="276"/>
        <w:rPr>
          <w:color w:val="00000A"/>
          <w:lang w:val="cs-CZ"/>
        </w:rPr>
      </w:pPr>
      <w:r>
        <w:rPr>
          <w:color w:val="00000A"/>
          <w:lang w:val="cs-CZ"/>
        </w:rPr>
      </w:r>
      <w:r>
        <w:br w:type="page"/>
      </w:r>
    </w:p>
    <w:p>
      <w:pPr>
        <w:pStyle w:val="Heading1"/>
        <w:spacing w:lineRule="auto" w:line="276" w:before="0" w:after="120"/>
        <w:rPr>
          <w:color w:val="00000A"/>
          <w:lang w:val="cs-CZ"/>
        </w:rPr>
      </w:pPr>
      <w:bookmarkStart w:id="5" w:name="příloha-1---vymezení-společného-postupu"/>
      <w:bookmarkEnd w:id="5"/>
      <w:r>
        <w:rPr>
          <w:color w:val="00000A"/>
          <w:lang w:val="cs-CZ"/>
        </w:rPr>
        <w:t>Příloha 1 - Vymezení společného postupu</w:t>
      </w:r>
    </w:p>
    <w:p>
      <w:pPr>
        <w:pStyle w:val="Normal"/>
        <w:numPr>
          <w:ilvl w:val="0"/>
          <w:numId w:val="15"/>
        </w:numPr>
        <w:spacing w:lineRule="auto" w:line="276" w:before="0" w:after="120"/>
        <w:jc w:val="both"/>
        <w:rPr>
          <w:color w:val="00000A"/>
          <w:lang w:val="cs-CZ"/>
        </w:rPr>
      </w:pPr>
      <w:r>
        <w:rPr>
          <w:color w:val="00000A"/>
          <w:lang w:val="cs-CZ"/>
        </w:rPr>
        <w:t>Činnosti zajišťované IPR Praha v rámci 0. fáze společného postupu:</w:t>
      </w:r>
    </w:p>
    <w:p>
      <w:pPr>
        <w:pStyle w:val="Normal"/>
        <w:numPr>
          <w:ilvl w:val="1"/>
          <w:numId w:val="16"/>
        </w:numPr>
        <w:spacing w:lineRule="auto" w:line="276" w:before="0" w:after="120"/>
        <w:jc w:val="both"/>
        <w:rPr>
          <w:color w:val="00000A"/>
          <w:lang w:val="cs-CZ"/>
        </w:rPr>
      </w:pPr>
      <w:r>
        <w:rPr>
          <w:color w:val="00000A"/>
          <w:lang w:val="cs-CZ"/>
        </w:rPr>
        <w:t>účast na předběžné tržní konzultaci</w:t>
      </w:r>
    </w:p>
    <w:p>
      <w:pPr>
        <w:pStyle w:val="Normal"/>
        <w:numPr>
          <w:ilvl w:val="1"/>
          <w:numId w:val="16"/>
        </w:numPr>
        <w:spacing w:lineRule="auto" w:line="276" w:before="0" w:after="120"/>
        <w:jc w:val="both"/>
        <w:rPr>
          <w:color w:val="00000A"/>
          <w:lang w:val="cs-CZ"/>
        </w:rPr>
      </w:pPr>
      <w:r>
        <w:rPr>
          <w:color w:val="00000A"/>
          <w:lang w:val="cs-CZ"/>
        </w:rPr>
        <w:t>součinnost při přípravě podkladů</w:t>
      </w:r>
    </w:p>
    <w:p>
      <w:pPr>
        <w:pStyle w:val="Normal"/>
        <w:numPr>
          <w:ilvl w:val="0"/>
          <w:numId w:val="15"/>
        </w:numPr>
        <w:spacing w:lineRule="auto" w:line="276" w:before="0" w:after="120"/>
        <w:jc w:val="both"/>
        <w:rPr>
          <w:color w:val="00000A"/>
          <w:lang w:val="cs-CZ"/>
        </w:rPr>
      </w:pPr>
      <w:r>
        <w:rPr>
          <w:color w:val="00000A"/>
          <w:lang w:val="cs-CZ"/>
        </w:rPr>
        <w:t>Činnosti zajišťované NTK v rámci 0. fáze společného postupu:</w:t>
      </w:r>
    </w:p>
    <w:p>
      <w:pPr>
        <w:pStyle w:val="Normal"/>
        <w:numPr>
          <w:ilvl w:val="1"/>
          <w:numId w:val="17"/>
        </w:numPr>
        <w:spacing w:lineRule="auto" w:line="276" w:before="0" w:after="120"/>
        <w:jc w:val="both"/>
        <w:rPr>
          <w:color w:val="00000A"/>
          <w:lang w:val="cs-CZ"/>
        </w:rPr>
      </w:pPr>
      <w:r>
        <w:rPr>
          <w:color w:val="00000A"/>
          <w:lang w:val="cs-CZ"/>
        </w:rPr>
        <w:t>příprava konsolidovaného znění zadávací dokumentace a jejích příloh pro vymezení předmětu předběžné tržní konzultace</w:t>
      </w:r>
    </w:p>
    <w:p>
      <w:pPr>
        <w:pStyle w:val="Normal"/>
        <w:numPr>
          <w:ilvl w:val="1"/>
          <w:numId w:val="17"/>
        </w:numPr>
        <w:spacing w:lineRule="auto" w:line="276" w:before="0" w:after="120"/>
        <w:jc w:val="both"/>
        <w:rPr>
          <w:color w:val="00000A"/>
          <w:lang w:val="cs-CZ"/>
        </w:rPr>
      </w:pPr>
      <w:r>
        <w:rPr>
          <w:color w:val="00000A"/>
          <w:lang w:val="cs-CZ"/>
        </w:rPr>
        <w:t>oslovení účastníků předběžné tržní konzultace</w:t>
      </w:r>
    </w:p>
    <w:p>
      <w:pPr>
        <w:pStyle w:val="Normal"/>
        <w:numPr>
          <w:ilvl w:val="1"/>
          <w:numId w:val="17"/>
        </w:numPr>
        <w:spacing w:lineRule="auto" w:line="276" w:before="0" w:after="120"/>
        <w:jc w:val="both"/>
        <w:rPr>
          <w:color w:val="00000A"/>
          <w:lang w:val="cs-CZ"/>
        </w:rPr>
      </w:pPr>
      <w:r>
        <w:rPr>
          <w:color w:val="00000A"/>
          <w:lang w:val="cs-CZ"/>
        </w:rPr>
        <w:t>organizace průběhu předběžné tržní konzultace</w:t>
      </w:r>
    </w:p>
    <w:p>
      <w:pPr>
        <w:pStyle w:val="Normal"/>
        <w:numPr>
          <w:ilvl w:val="1"/>
          <w:numId w:val="17"/>
        </w:numPr>
        <w:spacing w:lineRule="auto" w:line="276" w:before="0" w:after="120"/>
        <w:jc w:val="both"/>
        <w:rPr>
          <w:color w:val="00000A"/>
          <w:lang w:val="cs-CZ"/>
        </w:rPr>
      </w:pPr>
      <w:r>
        <w:rPr>
          <w:color w:val="00000A"/>
          <w:lang w:val="cs-CZ"/>
        </w:rPr>
        <w:t>pořízení záznamů předběžné tržní konzultace a případná úprava zadávací dokumentace dle výstupů z konzultace</w:t>
      </w:r>
    </w:p>
    <w:p>
      <w:pPr>
        <w:pStyle w:val="Normal"/>
        <w:numPr>
          <w:ilvl w:val="0"/>
          <w:numId w:val="15"/>
        </w:numPr>
        <w:spacing w:lineRule="auto" w:line="276" w:before="0" w:after="120"/>
        <w:jc w:val="both"/>
        <w:rPr>
          <w:color w:val="00000A"/>
          <w:lang w:val="cs-CZ"/>
        </w:rPr>
      </w:pPr>
      <w:r>
        <w:rPr>
          <w:color w:val="00000A"/>
          <w:lang w:val="cs-CZ"/>
        </w:rPr>
        <w:t>Činnosti zajišťované IPR Praha v rámci 1. fáze společného postupu:</w:t>
      </w:r>
    </w:p>
    <w:p>
      <w:pPr>
        <w:pStyle w:val="Normal"/>
        <w:numPr>
          <w:ilvl w:val="1"/>
          <w:numId w:val="18"/>
        </w:numPr>
        <w:spacing w:lineRule="auto" w:line="276" w:before="0" w:after="120"/>
        <w:jc w:val="both"/>
        <w:rPr>
          <w:color w:val="00000A"/>
          <w:lang w:val="cs-CZ"/>
        </w:rPr>
      </w:pPr>
      <w:r>
        <w:rPr>
          <w:color w:val="00000A"/>
          <w:lang w:val="cs-CZ"/>
        </w:rPr>
        <w:t>snižování počtu účastníků/předběžných nabídek</w:t>
      </w:r>
    </w:p>
    <w:p>
      <w:pPr>
        <w:pStyle w:val="Normal"/>
        <w:numPr>
          <w:ilvl w:val="1"/>
          <w:numId w:val="18"/>
        </w:numPr>
        <w:spacing w:lineRule="auto" w:line="276" w:before="0" w:after="120"/>
        <w:jc w:val="both"/>
        <w:rPr>
          <w:color w:val="00000A"/>
          <w:lang w:val="cs-CZ"/>
        </w:rPr>
      </w:pPr>
      <w:r>
        <w:rPr>
          <w:color w:val="00000A"/>
          <w:lang w:val="cs-CZ"/>
        </w:rPr>
        <w:t>dokončení zadávací dokumentace a jejích příloh</w:t>
      </w:r>
    </w:p>
    <w:p>
      <w:pPr>
        <w:pStyle w:val="Normal"/>
        <w:numPr>
          <w:ilvl w:val="1"/>
          <w:numId w:val="18"/>
        </w:numPr>
        <w:spacing w:lineRule="auto" w:line="276" w:before="0" w:after="120"/>
        <w:jc w:val="both"/>
        <w:rPr>
          <w:color w:val="00000A"/>
          <w:lang w:val="cs-CZ"/>
        </w:rPr>
      </w:pPr>
      <w:r>
        <w:rPr>
          <w:color w:val="00000A"/>
          <w:lang w:val="cs-CZ"/>
        </w:rPr>
        <w:t>zahájení zadávacího řízení odesláním Oznámení o zahájení zadávacího řízení do Věstníku veřejných zakázek a Úředního věstníku Evropské unie</w:t>
      </w:r>
    </w:p>
    <w:p>
      <w:pPr>
        <w:pStyle w:val="Normal"/>
        <w:numPr>
          <w:ilvl w:val="1"/>
          <w:numId w:val="18"/>
        </w:numPr>
        <w:spacing w:lineRule="auto" w:line="276" w:before="0" w:after="120"/>
        <w:jc w:val="both"/>
        <w:rPr>
          <w:color w:val="00000A"/>
          <w:lang w:val="cs-CZ"/>
        </w:rPr>
      </w:pPr>
      <w:r>
        <w:rPr>
          <w:color w:val="00000A"/>
          <w:lang w:val="cs-CZ"/>
        </w:rPr>
        <w:t>ustanovení hodnotící komise, organizace jejího jednání a účast na jednání komise</w:t>
      </w:r>
    </w:p>
    <w:p>
      <w:pPr>
        <w:pStyle w:val="Normal"/>
        <w:numPr>
          <w:ilvl w:val="1"/>
          <w:numId w:val="18"/>
        </w:numPr>
        <w:spacing w:lineRule="auto" w:line="276" w:before="0" w:after="120"/>
        <w:jc w:val="both"/>
        <w:rPr>
          <w:color w:val="00000A"/>
          <w:lang w:val="cs-CZ"/>
        </w:rPr>
      </w:pPr>
      <w:r>
        <w:rPr>
          <w:color w:val="00000A"/>
          <w:lang w:val="cs-CZ"/>
        </w:rPr>
        <w:t>posouzení kvalifikačních požadavků a příprava rozhodnutí o vyloučení dodavatelů a oznámení vyloučení dodavatelům</w:t>
      </w:r>
    </w:p>
    <w:p>
      <w:pPr>
        <w:pStyle w:val="Normal"/>
        <w:numPr>
          <w:ilvl w:val="0"/>
          <w:numId w:val="15"/>
        </w:numPr>
        <w:spacing w:lineRule="auto" w:line="276" w:before="0" w:after="120"/>
        <w:jc w:val="both"/>
        <w:rPr>
          <w:color w:val="00000A"/>
          <w:lang w:val="cs-CZ"/>
        </w:rPr>
      </w:pPr>
      <w:r>
        <w:rPr>
          <w:color w:val="00000A"/>
          <w:lang w:val="cs-CZ"/>
        </w:rPr>
        <w:t>Činnosti zajišťované NTK v rámci 1. fáze společného postupu:</w:t>
      </w:r>
    </w:p>
    <w:p>
      <w:pPr>
        <w:pStyle w:val="Normal"/>
        <w:numPr>
          <w:ilvl w:val="1"/>
          <w:numId w:val="19"/>
        </w:numPr>
        <w:spacing w:lineRule="auto" w:line="276" w:before="0" w:after="120"/>
        <w:jc w:val="both"/>
        <w:rPr>
          <w:color w:val="00000A"/>
          <w:lang w:val="cs-CZ"/>
        </w:rPr>
      </w:pPr>
      <w:r>
        <w:rPr>
          <w:color w:val="00000A"/>
          <w:lang w:val="cs-CZ"/>
        </w:rPr>
        <w:t>spolupráce na ustanovení hodnotící komise a účast na jejím jednání</w:t>
      </w:r>
    </w:p>
    <w:p>
      <w:pPr>
        <w:pStyle w:val="Normal"/>
        <w:numPr>
          <w:ilvl w:val="1"/>
          <w:numId w:val="19"/>
        </w:numPr>
        <w:spacing w:lineRule="auto" w:line="276" w:before="0" w:after="120"/>
        <w:jc w:val="both"/>
        <w:rPr>
          <w:color w:val="00000A"/>
          <w:lang w:val="cs-CZ"/>
        </w:rPr>
      </w:pPr>
      <w:r>
        <w:rPr>
          <w:color w:val="00000A"/>
          <w:lang w:val="cs-CZ"/>
        </w:rPr>
        <w:t>součinnost při přípravě podkladů</w:t>
      </w:r>
    </w:p>
    <w:p>
      <w:pPr>
        <w:pStyle w:val="Normal"/>
        <w:numPr>
          <w:ilvl w:val="0"/>
          <w:numId w:val="15"/>
        </w:numPr>
        <w:spacing w:lineRule="auto" w:line="276" w:before="0" w:after="120"/>
        <w:jc w:val="both"/>
        <w:rPr>
          <w:color w:val="00000A"/>
          <w:lang w:val="cs-CZ"/>
        </w:rPr>
      </w:pPr>
      <w:r>
        <w:rPr>
          <w:color w:val="00000A"/>
          <w:lang w:val="cs-CZ"/>
        </w:rPr>
        <w:t>Činnosti zajišťované IPR Praha v rámci 2. fáze společného postupu:</w:t>
      </w:r>
    </w:p>
    <w:p>
      <w:pPr>
        <w:pStyle w:val="Normal"/>
        <w:numPr>
          <w:ilvl w:val="1"/>
          <w:numId w:val="20"/>
        </w:numPr>
        <w:spacing w:lineRule="auto" w:line="276" w:before="0" w:after="120"/>
        <w:jc w:val="both"/>
        <w:rPr>
          <w:color w:val="00000A"/>
          <w:lang w:val="cs-CZ"/>
        </w:rPr>
      </w:pPr>
      <w:r>
        <w:rPr>
          <w:color w:val="00000A"/>
          <w:lang w:val="cs-CZ"/>
        </w:rPr>
        <w:t>příprava výzvy dodavatelům splňujícím kvalifikační předpoklady k podání předběžných nabídek</w:t>
      </w:r>
    </w:p>
    <w:p>
      <w:pPr>
        <w:pStyle w:val="Normal"/>
        <w:numPr>
          <w:ilvl w:val="1"/>
          <w:numId w:val="20"/>
        </w:numPr>
        <w:spacing w:lineRule="auto" w:line="276" w:before="0" w:after="120"/>
        <w:jc w:val="both"/>
        <w:rPr>
          <w:color w:val="00000A"/>
          <w:lang w:val="cs-CZ"/>
        </w:rPr>
      </w:pPr>
      <w:r>
        <w:rPr>
          <w:color w:val="00000A"/>
          <w:lang w:val="cs-CZ"/>
        </w:rPr>
        <w:t>vedení jednacího řízení s uveřejněním s cílem nalézt nejvýhodnější nabídku</w:t>
      </w:r>
    </w:p>
    <w:p>
      <w:pPr>
        <w:pStyle w:val="Normal"/>
        <w:numPr>
          <w:ilvl w:val="1"/>
          <w:numId w:val="20"/>
        </w:numPr>
        <w:spacing w:lineRule="auto" w:line="276" w:before="0" w:after="120"/>
        <w:jc w:val="both"/>
        <w:rPr>
          <w:color w:val="00000A"/>
          <w:lang w:val="cs-CZ"/>
        </w:rPr>
      </w:pPr>
      <w:r>
        <w:rPr>
          <w:color w:val="00000A"/>
          <w:lang w:val="cs-CZ"/>
        </w:rPr>
        <w:t>organizace jednání hodnotící komise</w:t>
      </w:r>
    </w:p>
    <w:p>
      <w:pPr>
        <w:pStyle w:val="Normal"/>
        <w:numPr>
          <w:ilvl w:val="1"/>
          <w:numId w:val="20"/>
        </w:numPr>
        <w:spacing w:lineRule="auto" w:line="276" w:before="0" w:after="120"/>
        <w:jc w:val="both"/>
        <w:rPr>
          <w:color w:val="00000A"/>
          <w:lang w:val="cs-CZ"/>
        </w:rPr>
      </w:pPr>
      <w:r>
        <w:rPr>
          <w:color w:val="00000A"/>
          <w:lang w:val="cs-CZ"/>
        </w:rPr>
        <w:t>vyhodnocení předběžných nabídek dodavatelů a příprava rozhodnutí o vyloučení dodavatelů a oznámení vyloučení dodavatelům</w:t>
      </w:r>
    </w:p>
    <w:p>
      <w:pPr>
        <w:pStyle w:val="Normal"/>
        <w:numPr>
          <w:ilvl w:val="0"/>
          <w:numId w:val="15"/>
        </w:numPr>
        <w:spacing w:lineRule="auto" w:line="276" w:before="0" w:after="120"/>
        <w:jc w:val="both"/>
        <w:rPr>
          <w:color w:val="00000A"/>
          <w:lang w:val="cs-CZ"/>
        </w:rPr>
      </w:pPr>
      <w:r>
        <w:rPr>
          <w:color w:val="00000A"/>
          <w:lang w:val="cs-CZ"/>
        </w:rPr>
        <w:t>Činnosti zajišťované NTK v rámci 2. fáze společného postupu:</w:t>
      </w:r>
    </w:p>
    <w:p>
      <w:pPr>
        <w:pStyle w:val="Normal"/>
        <w:numPr>
          <w:ilvl w:val="1"/>
          <w:numId w:val="21"/>
        </w:numPr>
        <w:spacing w:lineRule="auto" w:line="276" w:before="0" w:after="120"/>
        <w:jc w:val="both"/>
        <w:rPr>
          <w:color w:val="00000A"/>
          <w:lang w:val="cs-CZ"/>
        </w:rPr>
      </w:pPr>
      <w:r>
        <w:rPr>
          <w:color w:val="00000A"/>
          <w:lang w:val="cs-CZ"/>
        </w:rPr>
        <w:t>účast na jednání hodnotící komise</w:t>
      </w:r>
    </w:p>
    <w:p>
      <w:pPr>
        <w:pStyle w:val="Normal"/>
        <w:numPr>
          <w:ilvl w:val="1"/>
          <w:numId w:val="21"/>
        </w:numPr>
        <w:spacing w:lineRule="auto" w:line="276" w:before="0" w:after="120"/>
        <w:jc w:val="both"/>
        <w:rPr>
          <w:color w:val="00000A"/>
          <w:lang w:val="cs-CZ"/>
        </w:rPr>
      </w:pPr>
      <w:r>
        <w:rPr>
          <w:color w:val="00000A"/>
          <w:lang w:val="cs-CZ"/>
        </w:rPr>
        <w:t>součinnost při vedení jednacího řízení</w:t>
      </w:r>
    </w:p>
    <w:p>
      <w:pPr>
        <w:pStyle w:val="Normal"/>
        <w:numPr>
          <w:ilvl w:val="0"/>
          <w:numId w:val="15"/>
        </w:numPr>
        <w:spacing w:lineRule="auto" w:line="276" w:before="0" w:after="120"/>
        <w:jc w:val="both"/>
        <w:rPr>
          <w:color w:val="00000A"/>
          <w:lang w:val="cs-CZ"/>
        </w:rPr>
      </w:pPr>
      <w:r>
        <w:rPr>
          <w:color w:val="00000A"/>
          <w:lang w:val="cs-CZ"/>
        </w:rPr>
        <w:t>Činnosti zajišťované IPR Praha v rámci 3. fáze společného postupu:</w:t>
      </w:r>
    </w:p>
    <w:p>
      <w:pPr>
        <w:pStyle w:val="Normal"/>
        <w:numPr>
          <w:ilvl w:val="1"/>
          <w:numId w:val="22"/>
        </w:numPr>
        <w:spacing w:lineRule="auto" w:line="276" w:before="0" w:after="120"/>
        <w:jc w:val="both"/>
        <w:rPr>
          <w:color w:val="00000A"/>
          <w:lang w:val="cs-CZ"/>
        </w:rPr>
      </w:pPr>
      <w:r>
        <w:rPr>
          <w:color w:val="00000A"/>
          <w:lang w:val="cs-CZ"/>
        </w:rPr>
        <w:t>příprava výzvy dodavatelům projednávaných předběžných nabídek k podání nabídek</w:t>
      </w:r>
    </w:p>
    <w:p>
      <w:pPr>
        <w:pStyle w:val="Normal"/>
        <w:numPr>
          <w:ilvl w:val="1"/>
          <w:numId w:val="22"/>
        </w:numPr>
        <w:spacing w:lineRule="auto" w:line="276" w:before="0" w:after="120"/>
        <w:jc w:val="both"/>
        <w:rPr>
          <w:color w:val="00000A"/>
          <w:lang w:val="cs-CZ"/>
        </w:rPr>
      </w:pPr>
      <w:r>
        <w:rPr>
          <w:color w:val="00000A"/>
          <w:lang w:val="cs-CZ"/>
        </w:rPr>
        <w:t>organizace jednání hodnotící komise</w:t>
      </w:r>
    </w:p>
    <w:p>
      <w:pPr>
        <w:pStyle w:val="Normal"/>
        <w:numPr>
          <w:ilvl w:val="1"/>
          <w:numId w:val="22"/>
        </w:numPr>
        <w:spacing w:lineRule="auto" w:line="276" w:before="0" w:after="120"/>
        <w:jc w:val="both"/>
        <w:rPr>
          <w:color w:val="00000A"/>
          <w:lang w:val="cs-CZ"/>
        </w:rPr>
      </w:pPr>
      <w:r>
        <w:rPr>
          <w:color w:val="00000A"/>
          <w:lang w:val="cs-CZ"/>
        </w:rPr>
        <w:t>vyhodnocení nabídek a příprava rozhodnutí o výběru nejvýhodnější nabídky</w:t>
      </w:r>
    </w:p>
    <w:p>
      <w:pPr>
        <w:pStyle w:val="Normal"/>
        <w:numPr>
          <w:ilvl w:val="1"/>
          <w:numId w:val="22"/>
        </w:numPr>
        <w:spacing w:lineRule="auto" w:line="276" w:before="0" w:after="120"/>
        <w:jc w:val="both"/>
        <w:rPr>
          <w:color w:val="00000A"/>
          <w:lang w:val="cs-CZ"/>
        </w:rPr>
      </w:pPr>
      <w:r>
        <w:rPr>
          <w:color w:val="00000A"/>
          <w:lang w:val="cs-CZ"/>
        </w:rPr>
        <w:t>příprava a odeslání Oznámení o výsledku zadávacího řízení</w:t>
      </w:r>
    </w:p>
    <w:p>
      <w:pPr>
        <w:pStyle w:val="Normal"/>
        <w:numPr>
          <w:ilvl w:val="0"/>
          <w:numId w:val="15"/>
        </w:numPr>
        <w:spacing w:lineRule="auto" w:line="276" w:before="0" w:after="120"/>
        <w:jc w:val="both"/>
        <w:rPr>
          <w:color w:val="00000A"/>
          <w:lang w:val="cs-CZ"/>
        </w:rPr>
      </w:pPr>
      <w:r>
        <w:rPr>
          <w:color w:val="00000A"/>
          <w:lang w:val="cs-CZ"/>
        </w:rPr>
        <w:t>Činnosti zajišťované NTK v rámci 3. fáze společného postupu:</w:t>
      </w:r>
    </w:p>
    <w:p>
      <w:pPr>
        <w:pStyle w:val="Normal"/>
        <w:numPr>
          <w:ilvl w:val="1"/>
          <w:numId w:val="23"/>
        </w:numPr>
        <w:spacing w:lineRule="auto" w:line="276" w:before="0" w:after="120"/>
        <w:jc w:val="both"/>
        <w:rPr>
          <w:color w:val="00000A"/>
          <w:lang w:val="cs-CZ"/>
        </w:rPr>
      </w:pPr>
      <w:r>
        <w:rPr>
          <w:color w:val="00000A"/>
          <w:lang w:val="cs-CZ"/>
        </w:rPr>
        <w:t>účast na jednání hodnotící komise</w:t>
      </w:r>
    </w:p>
    <w:p>
      <w:pPr>
        <w:pStyle w:val="Normal"/>
        <w:numPr>
          <w:ilvl w:val="1"/>
          <w:numId w:val="23"/>
        </w:numPr>
        <w:spacing w:lineRule="auto" w:line="276" w:before="0" w:after="120"/>
        <w:jc w:val="both"/>
        <w:rPr>
          <w:color w:val="00000A"/>
          <w:lang w:val="cs-CZ"/>
        </w:rPr>
      </w:pPr>
      <w:r>
        <w:rPr>
          <w:color w:val="00000A"/>
          <w:lang w:val="cs-CZ"/>
        </w:rPr>
        <w:t>součinnost při výběru nejvýhodnější nabídky</w:t>
      </w:r>
    </w:p>
    <w:p>
      <w:pPr>
        <w:pStyle w:val="Normal"/>
        <w:numPr>
          <w:ilvl w:val="0"/>
          <w:numId w:val="15"/>
        </w:numPr>
        <w:spacing w:lineRule="auto" w:line="276" w:before="0" w:after="120"/>
        <w:jc w:val="both"/>
        <w:rPr>
          <w:color w:val="00000A"/>
          <w:lang w:val="cs-CZ"/>
        </w:rPr>
      </w:pPr>
      <w:r>
        <w:rPr>
          <w:color w:val="00000A"/>
          <w:lang w:val="cs-CZ"/>
        </w:rPr>
        <w:t>Činnosti zajišťované společně IPR Praha a NTK po uzavření smlouvy s vítězným dodavatelem jsou řešeny v rámci společně ustanovené akceptační komise.</w:t>
      </w:r>
    </w:p>
    <w:p>
      <w:pPr>
        <w:pStyle w:val="Heading1"/>
        <w:spacing w:lineRule="auto" w:line="276" w:before="0" w:after="120"/>
        <w:rPr>
          <w:color w:val="00000A"/>
          <w:lang w:val="cs-CZ"/>
        </w:rPr>
      </w:pPr>
      <w:r>
        <w:rPr>
          <w:color w:val="00000A"/>
          <w:lang w:val="cs-CZ"/>
        </w:rPr>
      </w:r>
      <w:r>
        <w:br w:type="page"/>
      </w:r>
    </w:p>
    <w:p>
      <w:pPr>
        <w:pStyle w:val="Heading1"/>
        <w:spacing w:lineRule="auto" w:line="276" w:before="0" w:after="120"/>
        <w:rPr>
          <w:color w:val="00000A"/>
        </w:rPr>
      </w:pPr>
      <w:bookmarkStart w:id="6" w:name="příloha-2---harmonogram-společného-postu"/>
      <w:bookmarkEnd w:id="6"/>
      <w:r>
        <w:rPr>
          <w:color w:val="00000A"/>
          <w:lang w:val="cs-CZ"/>
        </w:rPr>
        <w:t>Příloha 2 - Harmonogram společného postupu</w:t>
      </w:r>
    </w:p>
    <w:p>
      <w:pPr>
        <w:pStyle w:val="FirstParagraph"/>
        <w:spacing w:lineRule="auto" w:line="276" w:before="0" w:after="120"/>
        <w:jc w:val="both"/>
        <w:rPr>
          <w:color w:val="00000A"/>
          <w:lang w:val="cs-CZ"/>
        </w:rPr>
      </w:pPr>
      <w:r>
        <w:rPr>
          <w:b/>
          <w:color w:val="00000A"/>
          <w:lang w:val="cs-CZ"/>
        </w:rPr>
        <w:t>0. fáze společného postupu</w:t>
      </w:r>
    </w:p>
    <w:p>
      <w:pPr>
        <w:pStyle w:val="TextBody"/>
        <w:spacing w:lineRule="auto" w:line="276" w:before="0" w:after="120"/>
        <w:jc w:val="both"/>
        <w:rPr>
          <w:color w:val="00000A"/>
          <w:lang w:val="cs-CZ"/>
        </w:rPr>
      </w:pPr>
      <w:r>
        <w:rPr>
          <w:color w:val="00000A"/>
          <w:lang w:val="cs-CZ"/>
        </w:rPr>
        <w:t>Červenec 2017: Příprava předběžných tržních konzultací a podkladů pro ně</w:t>
      </w:r>
    </w:p>
    <w:p>
      <w:pPr>
        <w:pStyle w:val="TextBody"/>
        <w:spacing w:lineRule="auto" w:line="276" w:before="0" w:after="120"/>
        <w:jc w:val="both"/>
        <w:rPr>
          <w:color w:val="00000A"/>
          <w:lang w:val="cs-CZ"/>
        </w:rPr>
      </w:pPr>
      <w:r>
        <w:rPr>
          <w:color w:val="00000A"/>
          <w:lang w:val="cs-CZ"/>
        </w:rPr>
        <w:t>Srpen 2017: Vyhlášení předběžných tržních konzultací</w:t>
      </w:r>
    </w:p>
    <w:p>
      <w:pPr>
        <w:pStyle w:val="TextBody"/>
        <w:spacing w:lineRule="auto" w:line="276" w:before="0" w:after="120"/>
        <w:jc w:val="both"/>
        <w:rPr>
          <w:color w:val="00000A"/>
          <w:lang w:val="cs-CZ"/>
        </w:rPr>
      </w:pPr>
      <w:r>
        <w:rPr>
          <w:color w:val="00000A"/>
          <w:lang w:val="cs-CZ"/>
        </w:rPr>
        <w:t>Září 2017: Uspořádání a vyhodnocení předběžných tržních konzultací</w:t>
      </w:r>
    </w:p>
    <w:p>
      <w:pPr>
        <w:pStyle w:val="TextBody"/>
        <w:spacing w:lineRule="auto" w:line="276" w:before="0" w:after="120"/>
        <w:jc w:val="both"/>
        <w:rPr>
          <w:color w:val="00000A"/>
          <w:lang w:val="cs-CZ"/>
        </w:rPr>
      </w:pPr>
      <w:r>
        <w:rPr>
          <w:b/>
          <w:color w:val="00000A"/>
          <w:lang w:val="cs-CZ"/>
        </w:rPr>
        <w:t>1. fáze společného postupu</w:t>
      </w:r>
    </w:p>
    <w:p>
      <w:pPr>
        <w:pStyle w:val="TextBody"/>
        <w:spacing w:lineRule="auto" w:line="276" w:before="0" w:after="120"/>
        <w:jc w:val="both"/>
        <w:rPr>
          <w:color w:val="00000A"/>
          <w:lang w:val="cs-CZ"/>
        </w:rPr>
      </w:pPr>
      <w:r>
        <w:rPr>
          <w:color w:val="00000A"/>
          <w:lang w:val="cs-CZ"/>
        </w:rPr>
        <w:t>Říjen 2017: Dokončení zadávací dokumentace včetně všech jejích příloh</w:t>
      </w:r>
    </w:p>
    <w:p>
      <w:pPr>
        <w:pStyle w:val="TextBody"/>
        <w:spacing w:lineRule="auto" w:line="276" w:before="0" w:after="120"/>
        <w:jc w:val="both"/>
        <w:rPr>
          <w:color w:val="00000A"/>
          <w:lang w:val="cs-CZ"/>
        </w:rPr>
      </w:pPr>
      <w:r>
        <w:rPr>
          <w:color w:val="00000A"/>
          <w:lang w:val="cs-CZ"/>
        </w:rPr>
        <w:t>Listopad 2017: Vyhlášení zadávacího řízení</w:t>
      </w:r>
    </w:p>
    <w:p>
      <w:pPr>
        <w:pStyle w:val="TextBody"/>
        <w:spacing w:lineRule="auto" w:line="276" w:before="0" w:after="120"/>
        <w:jc w:val="both"/>
        <w:rPr>
          <w:color w:val="00000A"/>
          <w:lang w:val="cs-CZ"/>
        </w:rPr>
      </w:pPr>
      <w:r>
        <w:rPr>
          <w:b/>
          <w:color w:val="00000A"/>
          <w:lang w:val="cs-CZ"/>
        </w:rPr>
        <w:t>2. fáze společného postupu</w:t>
      </w:r>
    </w:p>
    <w:p>
      <w:pPr>
        <w:pStyle w:val="TextBody"/>
        <w:spacing w:lineRule="auto" w:line="276" w:before="0" w:after="120"/>
        <w:jc w:val="both"/>
        <w:rPr>
          <w:color w:val="00000A"/>
          <w:lang w:val="cs-CZ"/>
        </w:rPr>
      </w:pPr>
      <w:r>
        <w:rPr>
          <w:color w:val="00000A"/>
          <w:lang w:val="cs-CZ"/>
        </w:rPr>
        <w:t>Prosinec 2017: Uspořádání a vyhodnocení zadávacího řízení</w:t>
      </w:r>
    </w:p>
    <w:p>
      <w:pPr>
        <w:pStyle w:val="TextBody"/>
        <w:spacing w:lineRule="auto" w:line="276" w:before="0" w:after="120"/>
        <w:jc w:val="both"/>
        <w:rPr>
          <w:color w:val="00000A"/>
          <w:lang w:val="cs-CZ"/>
        </w:rPr>
      </w:pPr>
      <w:r>
        <w:rPr>
          <w:b/>
          <w:color w:val="00000A"/>
          <w:lang w:val="cs-CZ"/>
        </w:rPr>
        <w:t>3. fáze společného postupu</w:t>
      </w:r>
    </w:p>
    <w:p>
      <w:pPr>
        <w:pStyle w:val="TextBody"/>
        <w:spacing w:lineRule="auto" w:line="276" w:before="0" w:after="120"/>
        <w:jc w:val="both"/>
        <w:rPr>
          <w:color w:val="00000A"/>
          <w:lang w:val="cs-CZ"/>
        </w:rPr>
      </w:pPr>
      <w:r>
        <w:rPr>
          <w:color w:val="00000A"/>
          <w:lang w:val="cs-CZ"/>
        </w:rPr>
        <w:t>Leden 2018: Oznámení o výběru dodavatele a oznámení o výsledku zadávacího řízení</w:t>
      </w:r>
    </w:p>
    <w:p>
      <w:pPr>
        <w:pStyle w:val="TextBody"/>
        <w:spacing w:lineRule="auto" w:line="276" w:before="0" w:after="120"/>
        <w:jc w:val="both"/>
        <w:rPr/>
      </w:pPr>
      <w:r>
        <w:rPr>
          <w:color w:val="00000A"/>
          <w:lang w:val="cs-CZ"/>
        </w:rPr>
        <w:t>Únor 2018: Podepsání smlouvy s vítězem výběrového řízení a zahájení plnění veřejné zakázky</w:t>
      </w:r>
    </w:p>
    <w:sectPr>
      <w:headerReference w:type="default" r:id="rId2"/>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Segoe UI">
    <w:charset w:val="01"/>
    <w:family w:val="roman"/>
    <w:pitch w:val="variable"/>
  </w:font>
  <w:font w:name="Liberation Sans">
    <w:altName w:val="Arial"/>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t xml:space="preserve">č. smlouvy IPR Praha: </w:t>
    </w:r>
  </w:p>
  <w:p>
    <w:pPr>
      <w:pStyle w:val="Header"/>
      <w:rPr/>
    </w:pPr>
    <w:r>
      <w:rPr/>
      <w:t xml:space="preserve">č. smlouvy NTK: </w:t>
    </w:r>
    <w:r>
      <w:rPr/>
      <w:t>37/2017</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480" w:hanging="480"/>
      </w:pPr>
      <w:rPr>
        <w:rFonts w:ascii="Symbol" w:hAnsi="Symbol" w:cs="Symbol" w:hint="default"/>
        <w:rFonts w:cs="Symbol"/>
      </w:rPr>
    </w:lvl>
    <w:lvl w:ilvl="1">
      <w:start w:val="1"/>
      <w:numFmt w:val="bullet"/>
      <w:lvlText w:val=""/>
      <w:lvlJc w:val="left"/>
      <w:pPr>
        <w:tabs>
          <w:tab w:val="num" w:pos="720"/>
        </w:tabs>
        <w:ind w:left="1200" w:hanging="480"/>
      </w:pPr>
      <w:rPr>
        <w:rFonts w:ascii="Symbol" w:hAnsi="Symbol" w:cs="Symbol" w:hint="default"/>
        <w:rFonts w:cs="Symbol"/>
      </w:rPr>
    </w:lvl>
    <w:lvl w:ilvl="2">
      <w:start w:val="1"/>
      <w:numFmt w:val="bullet"/>
      <w:lvlText w:val=""/>
      <w:lvlJc w:val="left"/>
      <w:pPr>
        <w:tabs>
          <w:tab w:val="num" w:pos="1440"/>
        </w:tabs>
        <w:ind w:left="1920" w:hanging="480"/>
      </w:pPr>
      <w:rPr>
        <w:rFonts w:ascii="Symbol" w:hAnsi="Symbol" w:cs="Symbol" w:hint="default"/>
        <w:rFonts w:cs="Symbol"/>
      </w:rPr>
    </w:lvl>
    <w:lvl w:ilvl="3">
      <w:start w:val="1"/>
      <w:numFmt w:val="bullet"/>
      <w:lvlText w:val=""/>
      <w:lvlJc w:val="left"/>
      <w:pPr>
        <w:tabs>
          <w:tab w:val="num" w:pos="2160"/>
        </w:tabs>
        <w:ind w:left="2640" w:hanging="480"/>
      </w:pPr>
      <w:rPr>
        <w:rFonts w:ascii="Symbol" w:hAnsi="Symbol" w:cs="Symbol" w:hint="default"/>
        <w:rFonts w:cs="Symbol"/>
      </w:rPr>
    </w:lvl>
    <w:lvl w:ilvl="4">
      <w:start w:val="1"/>
      <w:numFmt w:val="bullet"/>
      <w:lvlText w:val=""/>
      <w:lvlJc w:val="left"/>
      <w:pPr>
        <w:tabs>
          <w:tab w:val="num" w:pos="2880"/>
        </w:tabs>
        <w:ind w:left="3360" w:hanging="480"/>
      </w:pPr>
      <w:rPr>
        <w:rFonts w:ascii="Symbol" w:hAnsi="Symbol" w:cs="Symbol" w:hint="default"/>
        <w:rFonts w:cs="Symbol"/>
      </w:rPr>
    </w:lvl>
    <w:lvl w:ilvl="5">
      <w:start w:val="1"/>
      <w:numFmt w:val="bullet"/>
      <w:lvlText w:val=""/>
      <w:lvlJc w:val="left"/>
      <w:pPr>
        <w:tabs>
          <w:tab w:val="num" w:pos="3600"/>
        </w:tabs>
        <w:ind w:left="4080" w:hanging="480"/>
      </w:pPr>
      <w:rPr>
        <w:rFonts w:ascii="Symbol" w:hAnsi="Symbol" w:cs="Symbol" w:hint="default"/>
        <w:rFonts w:cs="Symbol"/>
      </w:rPr>
    </w:lvl>
    <w:lvl w:ilvl="6">
      <w:start w:val="1"/>
      <w:numFmt w:val="bullet"/>
      <w:lvlText w:val=""/>
      <w:lvlJc w:val="left"/>
      <w:pPr>
        <w:tabs>
          <w:tab w:val="num" w:pos="4320"/>
        </w:tabs>
        <w:ind w:left="4800" w:hanging="480"/>
      </w:pPr>
      <w:rPr>
        <w:rFonts w:ascii="Symbol" w:hAnsi="Symbol" w:cs="Symbol" w:hint="default"/>
        <w:rFonts w:cs="Symbol"/>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lowerLetter"/>
      <w:lvlText w:val="%1)"/>
      <w:lvlJc w:val="left"/>
      <w:pPr>
        <w:ind w:left="480" w:hanging="480"/>
      </w:pPr>
    </w:lvl>
    <w:lvl w:ilvl="1">
      <w:start w:val="1"/>
      <w:numFmt w:val="lowerLetter"/>
      <w:lvlText w:val="%2)"/>
      <w:lvlJc w:val="left"/>
      <w:pPr>
        <w:ind w:left="1200" w:hanging="480"/>
      </w:pPr>
    </w:lvl>
    <w:lvl w:ilvl="2">
      <w:start w:val="1"/>
      <w:numFmt w:val="lowerLetter"/>
      <w:lvlText w:val="%3)"/>
      <w:lvlJc w:val="left"/>
      <w:pPr>
        <w:ind w:left="1920" w:hanging="480"/>
      </w:pPr>
    </w:lvl>
    <w:lvl w:ilvl="3">
      <w:start w:val="1"/>
      <w:numFmt w:val="lowerLetter"/>
      <w:lvlText w:val="%4)"/>
      <w:lvlJc w:val="left"/>
      <w:pPr>
        <w:ind w:left="2640" w:hanging="480"/>
      </w:pPr>
    </w:lvl>
    <w:lvl w:ilvl="4">
      <w:start w:val="1"/>
      <w:numFmt w:val="lowerLetter"/>
      <w:lvlText w:val="%5)"/>
      <w:lvlJc w:val="left"/>
      <w:pPr>
        <w:ind w:left="3360" w:hanging="480"/>
      </w:pPr>
    </w:lvl>
    <w:lvl w:ilvl="5">
      <w:start w:val="1"/>
      <w:numFmt w:val="lowerLetter"/>
      <w:lvlText w:val="%6)"/>
      <w:lvlJc w:val="left"/>
      <w:pPr>
        <w:ind w:left="4080" w:hanging="480"/>
      </w:pPr>
    </w:lvl>
    <w:lvl w:ilvl="6">
      <w:start w:val="1"/>
      <w:numFmt w:val="lowerLetter"/>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lowerLetter"/>
      <w:lvlText w:val="%1)"/>
      <w:lvlJc w:val="left"/>
      <w:pPr>
        <w:ind w:left="480" w:hanging="480"/>
      </w:pPr>
    </w:lvl>
    <w:lvl w:ilvl="1">
      <w:start w:val="1"/>
      <w:numFmt w:val="lowerLetter"/>
      <w:lvlText w:val="%2)"/>
      <w:lvlJc w:val="left"/>
      <w:pPr>
        <w:ind w:left="1200" w:hanging="480"/>
      </w:pPr>
    </w:lvl>
    <w:lvl w:ilvl="2">
      <w:start w:val="1"/>
      <w:numFmt w:val="lowerLetter"/>
      <w:lvlText w:val="%3)"/>
      <w:lvlJc w:val="left"/>
      <w:pPr>
        <w:ind w:left="1920" w:hanging="480"/>
      </w:pPr>
    </w:lvl>
    <w:lvl w:ilvl="3">
      <w:start w:val="1"/>
      <w:numFmt w:val="lowerLetter"/>
      <w:lvlText w:val="%4)"/>
      <w:lvlJc w:val="left"/>
      <w:pPr>
        <w:ind w:left="2640" w:hanging="480"/>
      </w:pPr>
    </w:lvl>
    <w:lvl w:ilvl="4">
      <w:start w:val="1"/>
      <w:numFmt w:val="lowerLetter"/>
      <w:lvlText w:val="%5)"/>
      <w:lvlJc w:val="left"/>
      <w:pPr>
        <w:ind w:left="3360" w:hanging="480"/>
      </w:pPr>
    </w:lvl>
    <w:lvl w:ilvl="5">
      <w:start w:val="1"/>
      <w:numFmt w:val="lowerLetter"/>
      <w:lvlText w:val="%6)"/>
      <w:lvlJc w:val="left"/>
      <w:pPr>
        <w:ind w:left="4080" w:hanging="480"/>
      </w:pPr>
    </w:lvl>
    <w:lvl w:ilvl="6">
      <w:start w:val="1"/>
      <w:numFmt w:val="lowerLetter"/>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ind w:left="480" w:hanging="480"/>
      </w:pPr>
    </w:lvl>
    <w:lvl w:ilvl="1">
      <w:start w:val="0"/>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ind w:left="480" w:hanging="480"/>
      </w:pPr>
    </w:lvl>
    <w:lvl w:ilvl="1">
      <w:start w:val="1"/>
      <w:numFmt w:val="lowerLetter"/>
      <w:lvlText w:val="%2)"/>
      <w:lvlJc w:val="left"/>
      <w:pPr>
        <w:ind w:left="1200" w:hanging="480"/>
      </w:pPr>
    </w:lvl>
    <w:lvl w:ilvl="2">
      <w:start w:val="1"/>
      <w:numFmt w:val="lowerLetter"/>
      <w:lvlText w:val="%3)"/>
      <w:lvlJc w:val="left"/>
      <w:pPr>
        <w:ind w:left="1920" w:hanging="480"/>
      </w:pPr>
    </w:lvl>
    <w:lvl w:ilvl="3">
      <w:start w:val="1"/>
      <w:numFmt w:val="lowerLetter"/>
      <w:lvlText w:val="%4)"/>
      <w:lvlJc w:val="left"/>
      <w:pPr>
        <w:ind w:left="2640" w:hanging="480"/>
      </w:pPr>
    </w:lvl>
    <w:lvl w:ilvl="4">
      <w:start w:val="1"/>
      <w:numFmt w:val="lowerLetter"/>
      <w:lvlText w:val="%5)"/>
      <w:lvlJc w:val="left"/>
      <w:pPr>
        <w:ind w:left="3360" w:hanging="480"/>
      </w:pPr>
    </w:lvl>
    <w:lvl w:ilvl="5">
      <w:start w:val="1"/>
      <w:numFmt w:val="lowerLetter"/>
      <w:lvlText w:val="%6)"/>
      <w:lvlJc w:val="left"/>
      <w:pPr>
        <w:ind w:left="4080" w:hanging="480"/>
      </w:pPr>
    </w:lvl>
    <w:lvl w:ilvl="6">
      <w:start w:val="1"/>
      <w:numFmt w:val="lowerLetter"/>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lowerLetter"/>
      <w:lvlText w:val="%1)"/>
      <w:lvlJc w:val="left"/>
      <w:pPr>
        <w:ind w:left="480" w:hanging="480"/>
      </w:pPr>
    </w:lvl>
    <w:lvl w:ilvl="1">
      <w:start w:val="1"/>
      <w:numFmt w:val="lowerLetter"/>
      <w:lvlText w:val="%2)"/>
      <w:lvlJc w:val="left"/>
      <w:pPr>
        <w:ind w:left="1200" w:hanging="480"/>
      </w:pPr>
    </w:lvl>
    <w:lvl w:ilvl="2">
      <w:start w:val="1"/>
      <w:numFmt w:val="lowerLetter"/>
      <w:lvlText w:val="%3)"/>
      <w:lvlJc w:val="left"/>
      <w:pPr>
        <w:ind w:left="1920" w:hanging="480"/>
      </w:pPr>
    </w:lvl>
    <w:lvl w:ilvl="3">
      <w:start w:val="1"/>
      <w:numFmt w:val="lowerLetter"/>
      <w:lvlText w:val="%4)"/>
      <w:lvlJc w:val="left"/>
      <w:pPr>
        <w:ind w:left="2640" w:hanging="480"/>
      </w:pPr>
    </w:lvl>
    <w:lvl w:ilvl="4">
      <w:start w:val="1"/>
      <w:numFmt w:val="lowerLetter"/>
      <w:lvlText w:val="%5)"/>
      <w:lvlJc w:val="left"/>
      <w:pPr>
        <w:ind w:left="3360" w:hanging="480"/>
      </w:pPr>
    </w:lvl>
    <w:lvl w:ilvl="5">
      <w:start w:val="1"/>
      <w:numFmt w:val="lowerLetter"/>
      <w:lvlText w:val="%6)"/>
      <w:lvlJc w:val="left"/>
      <w:pPr>
        <w:ind w:left="4080" w:hanging="480"/>
      </w:pPr>
    </w:lvl>
    <w:lvl w:ilvl="6">
      <w:start w:val="1"/>
      <w:numFmt w:val="lowerLetter"/>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lowerLetter"/>
      <w:lvlText w:val="%1)"/>
      <w:lvlJc w:val="left"/>
      <w:pPr>
        <w:ind w:left="480" w:hanging="480"/>
      </w:pPr>
    </w:lvl>
    <w:lvl w:ilvl="1">
      <w:start w:val="1"/>
      <w:numFmt w:val="lowerLetter"/>
      <w:lvlText w:val="%2)"/>
      <w:lvlJc w:val="left"/>
      <w:pPr>
        <w:ind w:left="1200" w:hanging="480"/>
      </w:pPr>
    </w:lvl>
    <w:lvl w:ilvl="2">
      <w:start w:val="1"/>
      <w:numFmt w:val="lowerLetter"/>
      <w:lvlText w:val="%3)"/>
      <w:lvlJc w:val="left"/>
      <w:pPr>
        <w:ind w:left="1920" w:hanging="480"/>
      </w:pPr>
    </w:lvl>
    <w:lvl w:ilvl="3">
      <w:start w:val="1"/>
      <w:numFmt w:val="lowerLetter"/>
      <w:lvlText w:val="%4)"/>
      <w:lvlJc w:val="left"/>
      <w:pPr>
        <w:ind w:left="2640" w:hanging="480"/>
      </w:pPr>
    </w:lvl>
    <w:lvl w:ilvl="4">
      <w:start w:val="1"/>
      <w:numFmt w:val="lowerLetter"/>
      <w:lvlText w:val="%5)"/>
      <w:lvlJc w:val="left"/>
      <w:pPr>
        <w:ind w:left="3360" w:hanging="480"/>
      </w:pPr>
    </w:lvl>
    <w:lvl w:ilvl="5">
      <w:start w:val="1"/>
      <w:numFmt w:val="lowerLetter"/>
      <w:lvlText w:val="%6)"/>
      <w:lvlJc w:val="left"/>
      <w:pPr>
        <w:ind w:left="4080" w:hanging="480"/>
      </w:pPr>
    </w:lvl>
    <w:lvl w:ilvl="6">
      <w:start w:val="1"/>
      <w:numFmt w:val="lowerLetter"/>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lowerLetter"/>
      <w:lvlText w:val="%1)"/>
      <w:lvlJc w:val="left"/>
      <w:pPr>
        <w:ind w:left="480" w:hanging="480"/>
      </w:pPr>
    </w:lvl>
    <w:lvl w:ilvl="1">
      <w:start w:val="1"/>
      <w:numFmt w:val="lowerLetter"/>
      <w:lvlText w:val="%2)"/>
      <w:lvlJc w:val="left"/>
      <w:pPr>
        <w:ind w:left="1200" w:hanging="480"/>
      </w:pPr>
    </w:lvl>
    <w:lvl w:ilvl="2">
      <w:start w:val="1"/>
      <w:numFmt w:val="lowerLetter"/>
      <w:lvlText w:val="%3)"/>
      <w:lvlJc w:val="left"/>
      <w:pPr>
        <w:ind w:left="1920" w:hanging="480"/>
      </w:pPr>
    </w:lvl>
    <w:lvl w:ilvl="3">
      <w:start w:val="1"/>
      <w:numFmt w:val="lowerLetter"/>
      <w:lvlText w:val="%4)"/>
      <w:lvlJc w:val="left"/>
      <w:pPr>
        <w:ind w:left="2640" w:hanging="480"/>
      </w:pPr>
    </w:lvl>
    <w:lvl w:ilvl="4">
      <w:start w:val="1"/>
      <w:numFmt w:val="lowerLetter"/>
      <w:lvlText w:val="%5)"/>
      <w:lvlJc w:val="left"/>
      <w:pPr>
        <w:ind w:left="3360" w:hanging="480"/>
      </w:pPr>
    </w:lvl>
    <w:lvl w:ilvl="5">
      <w:start w:val="1"/>
      <w:numFmt w:val="lowerLetter"/>
      <w:lvlText w:val="%6)"/>
      <w:lvlJc w:val="left"/>
      <w:pPr>
        <w:ind w:left="4080" w:hanging="480"/>
      </w:pPr>
    </w:lvl>
    <w:lvl w:ilvl="6">
      <w:start w:val="1"/>
      <w:numFmt w:val="lowerLetter"/>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lowerLetter"/>
      <w:lvlText w:val="%1)"/>
      <w:lvlJc w:val="left"/>
      <w:pPr>
        <w:ind w:left="480" w:hanging="480"/>
      </w:pPr>
    </w:lvl>
    <w:lvl w:ilvl="1">
      <w:start w:val="1"/>
      <w:numFmt w:val="lowerLetter"/>
      <w:lvlText w:val="%2)"/>
      <w:lvlJc w:val="left"/>
      <w:pPr>
        <w:ind w:left="1200" w:hanging="480"/>
      </w:pPr>
    </w:lvl>
    <w:lvl w:ilvl="2">
      <w:start w:val="1"/>
      <w:numFmt w:val="lowerLetter"/>
      <w:lvlText w:val="%3)"/>
      <w:lvlJc w:val="left"/>
      <w:pPr>
        <w:ind w:left="1920" w:hanging="480"/>
      </w:pPr>
    </w:lvl>
    <w:lvl w:ilvl="3">
      <w:start w:val="1"/>
      <w:numFmt w:val="lowerLetter"/>
      <w:lvlText w:val="%4)"/>
      <w:lvlJc w:val="left"/>
      <w:pPr>
        <w:ind w:left="2640" w:hanging="480"/>
      </w:pPr>
    </w:lvl>
    <w:lvl w:ilvl="4">
      <w:start w:val="1"/>
      <w:numFmt w:val="lowerLetter"/>
      <w:lvlText w:val="%5)"/>
      <w:lvlJc w:val="left"/>
      <w:pPr>
        <w:ind w:left="3360" w:hanging="480"/>
      </w:pPr>
    </w:lvl>
    <w:lvl w:ilvl="5">
      <w:start w:val="1"/>
      <w:numFmt w:val="lowerLetter"/>
      <w:lvlText w:val="%6)"/>
      <w:lvlJc w:val="left"/>
      <w:pPr>
        <w:ind w:left="4080" w:hanging="480"/>
      </w:pPr>
    </w:lvl>
    <w:lvl w:ilvl="6">
      <w:start w:val="1"/>
      <w:numFmt w:val="lowerLetter"/>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lowerLetter"/>
      <w:lvlText w:val="%1)"/>
      <w:lvlJc w:val="left"/>
      <w:pPr>
        <w:ind w:left="480" w:hanging="480"/>
      </w:pPr>
    </w:lvl>
    <w:lvl w:ilvl="1">
      <w:start w:val="1"/>
      <w:numFmt w:val="lowerLetter"/>
      <w:lvlText w:val="%2)"/>
      <w:lvlJc w:val="left"/>
      <w:pPr>
        <w:ind w:left="1200" w:hanging="480"/>
      </w:pPr>
    </w:lvl>
    <w:lvl w:ilvl="2">
      <w:start w:val="1"/>
      <w:numFmt w:val="lowerLetter"/>
      <w:lvlText w:val="%3)"/>
      <w:lvlJc w:val="left"/>
      <w:pPr>
        <w:ind w:left="1920" w:hanging="480"/>
      </w:pPr>
    </w:lvl>
    <w:lvl w:ilvl="3">
      <w:start w:val="1"/>
      <w:numFmt w:val="lowerLetter"/>
      <w:lvlText w:val="%4)"/>
      <w:lvlJc w:val="left"/>
      <w:pPr>
        <w:ind w:left="2640" w:hanging="480"/>
      </w:pPr>
    </w:lvl>
    <w:lvl w:ilvl="4">
      <w:start w:val="1"/>
      <w:numFmt w:val="lowerLetter"/>
      <w:lvlText w:val="%5)"/>
      <w:lvlJc w:val="left"/>
      <w:pPr>
        <w:ind w:left="3360" w:hanging="480"/>
      </w:pPr>
    </w:lvl>
    <w:lvl w:ilvl="5">
      <w:start w:val="1"/>
      <w:numFmt w:val="lowerLetter"/>
      <w:lvlText w:val="%6)"/>
      <w:lvlJc w:val="left"/>
      <w:pPr>
        <w:ind w:left="4080" w:hanging="480"/>
      </w:pPr>
    </w:lvl>
    <w:lvl w:ilvl="6">
      <w:start w:val="1"/>
      <w:numFmt w:val="lowerLetter"/>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lowerLetter"/>
      <w:lvlText w:val="%1)"/>
      <w:lvlJc w:val="left"/>
      <w:pPr>
        <w:ind w:left="480" w:hanging="480"/>
      </w:pPr>
    </w:lvl>
    <w:lvl w:ilvl="1">
      <w:start w:val="1"/>
      <w:numFmt w:val="lowerLetter"/>
      <w:lvlText w:val="%2)"/>
      <w:lvlJc w:val="left"/>
      <w:pPr>
        <w:ind w:left="1200" w:hanging="480"/>
      </w:pPr>
    </w:lvl>
    <w:lvl w:ilvl="2">
      <w:start w:val="1"/>
      <w:numFmt w:val="lowerLetter"/>
      <w:lvlText w:val="%3)"/>
      <w:lvlJc w:val="left"/>
      <w:pPr>
        <w:ind w:left="1920" w:hanging="480"/>
      </w:pPr>
    </w:lvl>
    <w:lvl w:ilvl="3">
      <w:start w:val="1"/>
      <w:numFmt w:val="lowerLetter"/>
      <w:lvlText w:val="%4)"/>
      <w:lvlJc w:val="left"/>
      <w:pPr>
        <w:ind w:left="2640" w:hanging="480"/>
      </w:pPr>
    </w:lvl>
    <w:lvl w:ilvl="4">
      <w:start w:val="1"/>
      <w:numFmt w:val="lowerLetter"/>
      <w:lvlText w:val="%5)"/>
      <w:lvlJc w:val="left"/>
      <w:pPr>
        <w:ind w:left="3360" w:hanging="480"/>
      </w:pPr>
    </w:lvl>
    <w:lvl w:ilvl="5">
      <w:start w:val="1"/>
      <w:numFmt w:val="lowerLetter"/>
      <w:lvlText w:val="%6)"/>
      <w:lvlJc w:val="left"/>
      <w:pPr>
        <w:ind w:left="4080" w:hanging="480"/>
      </w:pPr>
    </w:lvl>
    <w:lvl w:ilvl="6">
      <w:start w:val="1"/>
      <w:numFmt w:val="lowerLetter"/>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lowerLetter"/>
      <w:lvlText w:val="%1)"/>
      <w:lvlJc w:val="left"/>
      <w:pPr>
        <w:ind w:left="480" w:hanging="480"/>
      </w:pPr>
    </w:lvl>
    <w:lvl w:ilvl="1">
      <w:start w:val="1"/>
      <w:numFmt w:val="lowerLetter"/>
      <w:lvlText w:val="%2)"/>
      <w:lvlJc w:val="left"/>
      <w:pPr>
        <w:ind w:left="1200" w:hanging="480"/>
      </w:pPr>
    </w:lvl>
    <w:lvl w:ilvl="2">
      <w:start w:val="1"/>
      <w:numFmt w:val="lowerLetter"/>
      <w:lvlText w:val="%3)"/>
      <w:lvlJc w:val="left"/>
      <w:pPr>
        <w:ind w:left="1920" w:hanging="480"/>
      </w:pPr>
    </w:lvl>
    <w:lvl w:ilvl="3">
      <w:start w:val="1"/>
      <w:numFmt w:val="lowerLetter"/>
      <w:lvlText w:val="%4)"/>
      <w:lvlJc w:val="left"/>
      <w:pPr>
        <w:ind w:left="2640" w:hanging="480"/>
      </w:pPr>
    </w:lvl>
    <w:lvl w:ilvl="4">
      <w:start w:val="1"/>
      <w:numFmt w:val="lowerLetter"/>
      <w:lvlText w:val="%5)"/>
      <w:lvlJc w:val="left"/>
      <w:pPr>
        <w:ind w:left="3360" w:hanging="480"/>
      </w:pPr>
    </w:lvl>
    <w:lvl w:ilvl="5">
      <w:start w:val="1"/>
      <w:numFmt w:val="lowerLetter"/>
      <w:lvlText w:val="%6)"/>
      <w:lvlJc w:val="left"/>
      <w:pPr>
        <w:ind w:left="4080" w:hanging="480"/>
      </w:pPr>
    </w:lvl>
    <w:lvl w:ilvl="6">
      <w:start w:val="1"/>
      <w:numFmt w:val="lowerLetter"/>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lowerLetter"/>
      <w:lvlText w:val="%1)"/>
      <w:lvlJc w:val="left"/>
      <w:pPr>
        <w:ind w:left="480" w:hanging="480"/>
      </w:pPr>
    </w:lvl>
    <w:lvl w:ilvl="1">
      <w:start w:val="1"/>
      <w:numFmt w:val="lowerLetter"/>
      <w:lvlText w:val="%2)"/>
      <w:lvlJc w:val="left"/>
      <w:pPr>
        <w:ind w:left="1200" w:hanging="480"/>
      </w:pPr>
    </w:lvl>
    <w:lvl w:ilvl="2">
      <w:start w:val="1"/>
      <w:numFmt w:val="lowerLetter"/>
      <w:lvlText w:val="%3)"/>
      <w:lvlJc w:val="left"/>
      <w:pPr>
        <w:ind w:left="1920" w:hanging="480"/>
      </w:pPr>
    </w:lvl>
    <w:lvl w:ilvl="3">
      <w:start w:val="1"/>
      <w:numFmt w:val="lowerLetter"/>
      <w:lvlText w:val="%4)"/>
      <w:lvlJc w:val="left"/>
      <w:pPr>
        <w:ind w:left="2640" w:hanging="480"/>
      </w:pPr>
    </w:lvl>
    <w:lvl w:ilvl="4">
      <w:start w:val="1"/>
      <w:numFmt w:val="lowerLetter"/>
      <w:lvlText w:val="%5)"/>
      <w:lvlJc w:val="left"/>
      <w:pPr>
        <w:ind w:left="3360" w:hanging="480"/>
      </w:pPr>
    </w:lvl>
    <w:lvl w:ilvl="5">
      <w:start w:val="1"/>
      <w:numFmt w:val="lowerLetter"/>
      <w:lvlText w:val="%6)"/>
      <w:lvlJc w:val="left"/>
      <w:pPr>
        <w:ind w:left="4080" w:hanging="480"/>
      </w:pPr>
    </w:lvl>
    <w:lvl w:ilvl="6">
      <w:start w:val="1"/>
      <w:numFmt w:val="lowerLetter"/>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lowerLetter"/>
      <w:lvlText w:val="%1)"/>
      <w:lvlJc w:val="left"/>
      <w:pPr>
        <w:ind w:left="480" w:hanging="480"/>
      </w:pPr>
    </w:lvl>
    <w:lvl w:ilvl="1">
      <w:start w:val="1"/>
      <w:numFmt w:val="lowerLetter"/>
      <w:lvlText w:val="%2)"/>
      <w:lvlJc w:val="left"/>
      <w:pPr>
        <w:ind w:left="1200" w:hanging="480"/>
      </w:pPr>
    </w:lvl>
    <w:lvl w:ilvl="2">
      <w:start w:val="1"/>
      <w:numFmt w:val="lowerLetter"/>
      <w:lvlText w:val="%3)"/>
      <w:lvlJc w:val="left"/>
      <w:pPr>
        <w:ind w:left="1920" w:hanging="480"/>
      </w:pPr>
    </w:lvl>
    <w:lvl w:ilvl="3">
      <w:start w:val="1"/>
      <w:numFmt w:val="lowerLetter"/>
      <w:lvlText w:val="%4)"/>
      <w:lvlJc w:val="left"/>
      <w:pPr>
        <w:ind w:left="2640" w:hanging="480"/>
      </w:pPr>
    </w:lvl>
    <w:lvl w:ilvl="4">
      <w:start w:val="1"/>
      <w:numFmt w:val="lowerLetter"/>
      <w:lvlText w:val="%5)"/>
      <w:lvlJc w:val="left"/>
      <w:pPr>
        <w:ind w:left="3360" w:hanging="480"/>
      </w:pPr>
    </w:lvl>
    <w:lvl w:ilvl="5">
      <w:start w:val="1"/>
      <w:numFmt w:val="lowerLetter"/>
      <w:lvlText w:val="%6)"/>
      <w:lvlJc w:val="left"/>
      <w:pPr>
        <w:ind w:left="4080" w:hanging="480"/>
      </w:pPr>
    </w:lvl>
    <w:lvl w:ilvl="6">
      <w:start w:val="1"/>
      <w:numFmt w:val="lowerLetter"/>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lowerLetter"/>
      <w:lvlText w:val="%1)"/>
      <w:lvlJc w:val="left"/>
      <w:pPr>
        <w:ind w:left="480" w:hanging="480"/>
      </w:pPr>
    </w:lvl>
    <w:lvl w:ilvl="1">
      <w:start w:val="1"/>
      <w:numFmt w:val="lowerLetter"/>
      <w:lvlText w:val="%2)"/>
      <w:lvlJc w:val="left"/>
      <w:pPr>
        <w:ind w:left="1200" w:hanging="480"/>
      </w:pPr>
    </w:lvl>
    <w:lvl w:ilvl="2">
      <w:start w:val="1"/>
      <w:numFmt w:val="lowerLetter"/>
      <w:lvlText w:val="%3)"/>
      <w:lvlJc w:val="left"/>
      <w:pPr>
        <w:ind w:left="1920" w:hanging="480"/>
      </w:pPr>
    </w:lvl>
    <w:lvl w:ilvl="3">
      <w:start w:val="1"/>
      <w:numFmt w:val="lowerLetter"/>
      <w:lvlText w:val="%4)"/>
      <w:lvlJc w:val="left"/>
      <w:pPr>
        <w:ind w:left="2640" w:hanging="480"/>
      </w:pPr>
    </w:lvl>
    <w:lvl w:ilvl="4">
      <w:start w:val="1"/>
      <w:numFmt w:val="lowerLetter"/>
      <w:lvlText w:val="%5)"/>
      <w:lvlJc w:val="left"/>
      <w:pPr>
        <w:ind w:left="3360" w:hanging="480"/>
      </w:pPr>
    </w:lvl>
    <w:lvl w:ilvl="5">
      <w:start w:val="1"/>
      <w:numFmt w:val="lowerLetter"/>
      <w:lvlText w:val="%6)"/>
      <w:lvlJc w:val="left"/>
      <w:pPr>
        <w:ind w:left="4080" w:hanging="480"/>
      </w:pPr>
    </w:lvl>
    <w:lvl w:ilvl="6">
      <w:start w:val="1"/>
      <w:numFmt w:val="lowerLetter"/>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lowerLetter"/>
      <w:lvlText w:val="%1)"/>
      <w:lvlJc w:val="left"/>
      <w:pPr>
        <w:ind w:left="480" w:hanging="480"/>
      </w:pPr>
    </w:lvl>
    <w:lvl w:ilvl="1">
      <w:start w:val="1"/>
      <w:numFmt w:val="lowerLetter"/>
      <w:lvlText w:val="%2)"/>
      <w:lvlJc w:val="left"/>
      <w:pPr>
        <w:ind w:left="1200" w:hanging="480"/>
      </w:pPr>
    </w:lvl>
    <w:lvl w:ilvl="2">
      <w:start w:val="1"/>
      <w:numFmt w:val="lowerLetter"/>
      <w:lvlText w:val="%3)"/>
      <w:lvlJc w:val="left"/>
      <w:pPr>
        <w:ind w:left="1920" w:hanging="480"/>
      </w:pPr>
    </w:lvl>
    <w:lvl w:ilvl="3">
      <w:start w:val="1"/>
      <w:numFmt w:val="lowerLetter"/>
      <w:lvlText w:val="%4)"/>
      <w:lvlJc w:val="left"/>
      <w:pPr>
        <w:ind w:left="2640" w:hanging="480"/>
      </w:pPr>
    </w:lvl>
    <w:lvl w:ilvl="4">
      <w:start w:val="1"/>
      <w:numFmt w:val="lowerLetter"/>
      <w:lvlText w:val="%5)"/>
      <w:lvlJc w:val="left"/>
      <w:pPr>
        <w:ind w:left="3360" w:hanging="480"/>
      </w:pPr>
    </w:lvl>
    <w:lvl w:ilvl="5">
      <w:start w:val="1"/>
      <w:numFmt w:val="lowerLetter"/>
      <w:lvlText w:val="%6)"/>
      <w:lvlJc w:val="left"/>
      <w:pPr>
        <w:ind w:left="4080" w:hanging="480"/>
      </w:pPr>
    </w:lvl>
    <w:lvl w:ilvl="6">
      <w:start w:val="1"/>
      <w:numFmt w:val="lowerLetter"/>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lowerLetter"/>
      <w:lvlText w:val="%1)"/>
      <w:lvlJc w:val="left"/>
      <w:pPr>
        <w:ind w:left="480" w:hanging="480"/>
      </w:pPr>
    </w:lvl>
    <w:lvl w:ilvl="1">
      <w:start w:val="1"/>
      <w:numFmt w:val="lowerLetter"/>
      <w:lvlText w:val="%2)"/>
      <w:lvlJc w:val="left"/>
      <w:pPr>
        <w:ind w:left="1200" w:hanging="480"/>
      </w:pPr>
    </w:lvl>
    <w:lvl w:ilvl="2">
      <w:start w:val="1"/>
      <w:numFmt w:val="lowerLetter"/>
      <w:lvlText w:val="%3)"/>
      <w:lvlJc w:val="left"/>
      <w:pPr>
        <w:ind w:left="1920" w:hanging="480"/>
      </w:pPr>
    </w:lvl>
    <w:lvl w:ilvl="3">
      <w:start w:val="1"/>
      <w:numFmt w:val="lowerLetter"/>
      <w:lvlText w:val="%4)"/>
      <w:lvlJc w:val="left"/>
      <w:pPr>
        <w:ind w:left="2640" w:hanging="480"/>
      </w:pPr>
    </w:lvl>
    <w:lvl w:ilvl="4">
      <w:start w:val="1"/>
      <w:numFmt w:val="lowerLetter"/>
      <w:lvlText w:val="%5)"/>
      <w:lvlJc w:val="left"/>
      <w:pPr>
        <w:ind w:left="3360" w:hanging="480"/>
      </w:pPr>
    </w:lvl>
    <w:lvl w:ilvl="5">
      <w:start w:val="1"/>
      <w:numFmt w:val="lowerLetter"/>
      <w:lvlText w:val="%6)"/>
      <w:lvlJc w:val="left"/>
      <w:pPr>
        <w:ind w:left="4080" w:hanging="480"/>
      </w:pPr>
    </w:lvl>
    <w:lvl w:ilvl="6">
      <w:start w:val="1"/>
      <w:numFmt w:val="lowerLetter"/>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200"/>
      <w:jc w:val="left"/>
    </w:pPr>
    <w:rPr>
      <w:rFonts w:ascii="Cambria" w:hAnsi="Cambria" w:eastAsia="Cambria" w:cs=""/>
      <w:color w:val="00000A"/>
      <w:sz w:val="24"/>
      <w:szCs w:val="24"/>
      <w:lang w:val="en-US" w:eastAsia="en-US" w:bidi="ar-SA"/>
    </w:rPr>
  </w:style>
  <w:style w:type="paragraph" w:styleId="Heading1">
    <w:name w:val="Heading 1"/>
    <w:basedOn w:val="Normal"/>
    <w:uiPriority w:val="9"/>
    <w:qFormat/>
    <w:pPr>
      <w:keepNext/>
      <w:keepLines/>
      <w:spacing w:before="480" w:after="0"/>
      <w:outlineLvl w:val="0"/>
    </w:pPr>
    <w:rPr>
      <w:rFonts w:ascii="Calibri" w:hAnsi="Calibri" w:eastAsia="" w:cs="" w:asciiTheme="majorHAnsi" w:cstheme="majorBidi" w:eastAsiaTheme="majorEastAsia" w:hAnsiTheme="majorHAnsi"/>
      <w:b/>
      <w:bCs/>
      <w:color w:val="345A8A" w:themeColor="accent1" w:themeShade="b5"/>
      <w:sz w:val="32"/>
      <w:szCs w:val="32"/>
    </w:rPr>
  </w:style>
  <w:style w:type="paragraph" w:styleId="Heading2">
    <w:name w:val="Heading 2"/>
    <w:basedOn w:val="Normal"/>
    <w:uiPriority w:val="9"/>
    <w:unhideWhenUsed/>
    <w:qFormat/>
    <w:pPr>
      <w:keepNext/>
      <w:keepLines/>
      <w:spacing w:before="200" w:after="0"/>
      <w:outlineLvl w:val="1"/>
    </w:pPr>
    <w:rPr>
      <w:rFonts w:ascii="Calibri" w:hAnsi="Calibri" w:eastAsia="" w:cs="" w:asciiTheme="majorHAnsi" w:cstheme="majorBidi" w:eastAsiaTheme="majorEastAsia" w:hAnsiTheme="majorHAnsi"/>
      <w:b/>
      <w:bCs/>
      <w:color w:val="4F81BD" w:themeColor="accent1"/>
      <w:sz w:val="32"/>
      <w:szCs w:val="32"/>
    </w:rPr>
  </w:style>
  <w:style w:type="paragraph" w:styleId="Heading3">
    <w:name w:val="Heading 3"/>
    <w:basedOn w:val="Normal"/>
    <w:uiPriority w:val="9"/>
    <w:unhideWhenUsed/>
    <w:qFormat/>
    <w:pPr>
      <w:keepNext/>
      <w:keepLines/>
      <w:spacing w:before="200" w:after="0"/>
      <w:outlineLvl w:val="2"/>
    </w:pPr>
    <w:rPr>
      <w:rFonts w:ascii="Calibri" w:hAnsi="Calibri" w:eastAsia="" w:cs="" w:asciiTheme="majorHAnsi" w:cstheme="majorBidi" w:eastAsiaTheme="majorEastAsia" w:hAnsiTheme="majorHAnsi"/>
      <w:b/>
      <w:bCs/>
      <w:color w:val="4F81BD" w:themeColor="accent1"/>
      <w:sz w:val="28"/>
      <w:szCs w:val="28"/>
    </w:rPr>
  </w:style>
  <w:style w:type="paragraph" w:styleId="Heading4">
    <w:name w:val="Heading 4"/>
    <w:basedOn w:val="Normal"/>
    <w:uiPriority w:val="9"/>
    <w:unhideWhenUsed/>
    <w:qFormat/>
    <w:pPr>
      <w:keepNext/>
      <w:keepLines/>
      <w:spacing w:before="200" w:after="0"/>
      <w:outlineLvl w:val="3"/>
    </w:pPr>
    <w:rPr>
      <w:rFonts w:ascii="Calibri" w:hAnsi="Calibri" w:eastAsia="" w:cs="" w:asciiTheme="majorHAnsi" w:cstheme="majorBidi" w:eastAsiaTheme="majorEastAsia" w:hAnsiTheme="majorHAnsi"/>
      <w:b/>
      <w:bCs/>
      <w:color w:val="4F81BD" w:themeColor="accent1"/>
    </w:rPr>
  </w:style>
  <w:style w:type="paragraph" w:styleId="Heading5">
    <w:name w:val="Heading 5"/>
    <w:basedOn w:val="Normal"/>
    <w:uiPriority w:val="9"/>
    <w:unhideWhenUsed/>
    <w:qFormat/>
    <w:pPr>
      <w:keepNext/>
      <w:keepLines/>
      <w:spacing w:before="200" w:after="0"/>
      <w:outlineLvl w:val="4"/>
    </w:pPr>
    <w:rPr>
      <w:rFonts w:ascii="Calibri" w:hAnsi="Calibri" w:eastAsia="" w:cs="" w:asciiTheme="majorHAnsi" w:cstheme="majorBidi" w:eastAsiaTheme="majorEastAsia" w:hAnsiTheme="majorHAnsi"/>
      <w:i/>
      <w:iCs/>
      <w:color w:val="4F81BD" w:themeColor="accent1"/>
    </w:rPr>
  </w:style>
  <w:style w:type="paragraph" w:styleId="Heading6">
    <w:name w:val="Heading 6"/>
    <w:basedOn w:val="Normal"/>
    <w:uiPriority w:val="9"/>
    <w:unhideWhenUsed/>
    <w:qFormat/>
    <w:pPr>
      <w:keepNext/>
      <w:keepLines/>
      <w:spacing w:before="200" w:after="0"/>
      <w:outlineLvl w:val="5"/>
    </w:pPr>
    <w:rPr>
      <w:rFonts w:ascii="Calibri" w:hAnsi="Calibri" w:eastAsia="" w:cs="" w:asciiTheme="majorHAnsi" w:cstheme="majorBidi" w:eastAsiaTheme="majorEastAsia" w:hAnsiTheme="majorHAnsi"/>
      <w:color w:val="4F81BD" w:themeColor="accent1"/>
    </w:rPr>
  </w:style>
  <w:style w:type="character" w:styleId="DefaultParagraphFont" w:default="1">
    <w:name w:val="Default Paragraph Font"/>
    <w:uiPriority w:val="1"/>
    <w:semiHidden/>
    <w:unhideWhenUsed/>
    <w:qFormat/>
    <w:rPr/>
  </w:style>
  <w:style w:type="character" w:styleId="TitulekChar" w:customStyle="1">
    <w:name w:val="Titulek Char"/>
    <w:basedOn w:val="DefaultParagraphFont"/>
    <w:link w:val="Titulek"/>
    <w:qFormat/>
    <w:rPr/>
  </w:style>
  <w:style w:type="character" w:styleId="VerbatimChar" w:customStyle="1">
    <w:name w:val="Verbatim Char"/>
    <w:basedOn w:val="TitulekChar"/>
    <w:link w:val="SourceCode"/>
    <w:qFormat/>
    <w:rPr>
      <w:rFonts w:ascii="Consolas" w:hAnsi="Consolas"/>
      <w:sz w:val="22"/>
    </w:rPr>
  </w:style>
  <w:style w:type="character" w:styleId="FootnoteAnchor" w:customStyle="1">
    <w:name w:val="Footnote Anchor"/>
    <w:basedOn w:val="TitulekChar"/>
    <w:rPr>
      <w:vertAlign w:val="superscript"/>
    </w:rPr>
  </w:style>
  <w:style w:type="character" w:styleId="InternetLink" w:customStyle="1">
    <w:name w:val="Internet Link"/>
    <w:basedOn w:val="TitulekChar"/>
    <w:rPr>
      <w:color w:val="4F81BD" w:themeColor="accent1"/>
    </w:rPr>
  </w:style>
  <w:style w:type="character" w:styleId="KeywordTok" w:customStyle="1">
    <w:name w:val="KeywordTok"/>
    <w:basedOn w:val="VerbatimChar"/>
    <w:qFormat/>
    <w:rPr>
      <w:rFonts w:ascii="Consolas" w:hAnsi="Consolas"/>
      <w:b/>
      <w:color w:val="007020"/>
      <w:sz w:val="22"/>
    </w:rPr>
  </w:style>
  <w:style w:type="character" w:styleId="DataTypeTok" w:customStyle="1">
    <w:name w:val="DataTypeTok"/>
    <w:basedOn w:val="VerbatimChar"/>
    <w:qFormat/>
    <w:rPr>
      <w:rFonts w:ascii="Consolas" w:hAnsi="Consolas"/>
      <w:color w:val="902000"/>
      <w:sz w:val="22"/>
    </w:rPr>
  </w:style>
  <w:style w:type="character" w:styleId="DecValTok" w:customStyle="1">
    <w:name w:val="DecValTok"/>
    <w:basedOn w:val="VerbatimChar"/>
    <w:qFormat/>
    <w:rPr>
      <w:rFonts w:ascii="Consolas" w:hAnsi="Consolas"/>
      <w:color w:val="40A070"/>
      <w:sz w:val="22"/>
    </w:rPr>
  </w:style>
  <w:style w:type="character" w:styleId="BaseNTok" w:customStyle="1">
    <w:name w:val="BaseNTok"/>
    <w:basedOn w:val="VerbatimChar"/>
    <w:qFormat/>
    <w:rPr>
      <w:rFonts w:ascii="Consolas" w:hAnsi="Consolas"/>
      <w:color w:val="40A070"/>
      <w:sz w:val="22"/>
    </w:rPr>
  </w:style>
  <w:style w:type="character" w:styleId="FloatTok" w:customStyle="1">
    <w:name w:val="FloatTok"/>
    <w:basedOn w:val="VerbatimChar"/>
    <w:qFormat/>
    <w:rPr>
      <w:rFonts w:ascii="Consolas" w:hAnsi="Consolas"/>
      <w:color w:val="40A070"/>
      <w:sz w:val="22"/>
    </w:rPr>
  </w:style>
  <w:style w:type="character" w:styleId="ConstantTok" w:customStyle="1">
    <w:name w:val="ConstantTok"/>
    <w:basedOn w:val="VerbatimChar"/>
    <w:qFormat/>
    <w:rPr>
      <w:rFonts w:ascii="Consolas" w:hAnsi="Consolas"/>
      <w:color w:val="880000"/>
      <w:sz w:val="22"/>
    </w:rPr>
  </w:style>
  <w:style w:type="character" w:styleId="CharTok" w:customStyle="1">
    <w:name w:val="CharTok"/>
    <w:basedOn w:val="VerbatimChar"/>
    <w:qFormat/>
    <w:rPr>
      <w:rFonts w:ascii="Consolas" w:hAnsi="Consolas"/>
      <w:color w:val="4070A0"/>
      <w:sz w:val="22"/>
    </w:rPr>
  </w:style>
  <w:style w:type="character" w:styleId="SpecialCharTok" w:customStyle="1">
    <w:name w:val="SpecialCharTok"/>
    <w:basedOn w:val="VerbatimChar"/>
    <w:qFormat/>
    <w:rPr>
      <w:rFonts w:ascii="Consolas" w:hAnsi="Consolas"/>
      <w:color w:val="4070A0"/>
      <w:sz w:val="22"/>
    </w:rPr>
  </w:style>
  <w:style w:type="character" w:styleId="StringTok" w:customStyle="1">
    <w:name w:val="StringTok"/>
    <w:basedOn w:val="VerbatimChar"/>
    <w:qFormat/>
    <w:rPr>
      <w:rFonts w:ascii="Consolas" w:hAnsi="Consolas"/>
      <w:color w:val="4070A0"/>
      <w:sz w:val="22"/>
    </w:rPr>
  </w:style>
  <w:style w:type="character" w:styleId="VerbatimStringTok" w:customStyle="1">
    <w:name w:val="VerbatimStringTok"/>
    <w:basedOn w:val="VerbatimChar"/>
    <w:qFormat/>
    <w:rPr>
      <w:rFonts w:ascii="Consolas" w:hAnsi="Consolas"/>
      <w:color w:val="4070A0"/>
      <w:sz w:val="22"/>
    </w:rPr>
  </w:style>
  <w:style w:type="character" w:styleId="SpecialStringTok" w:customStyle="1">
    <w:name w:val="SpecialStringTok"/>
    <w:basedOn w:val="VerbatimChar"/>
    <w:qFormat/>
    <w:rPr>
      <w:rFonts w:ascii="Consolas" w:hAnsi="Consolas"/>
      <w:color w:val="BB6688"/>
      <w:sz w:val="22"/>
    </w:rPr>
  </w:style>
  <w:style w:type="character" w:styleId="ImportTok" w:customStyle="1">
    <w:name w:val="ImportTok"/>
    <w:basedOn w:val="VerbatimChar"/>
    <w:qFormat/>
    <w:rPr>
      <w:rFonts w:ascii="Consolas" w:hAnsi="Consolas"/>
      <w:sz w:val="22"/>
    </w:rPr>
  </w:style>
  <w:style w:type="character" w:styleId="CommentTok" w:customStyle="1">
    <w:name w:val="CommentTok"/>
    <w:basedOn w:val="VerbatimChar"/>
    <w:qFormat/>
    <w:rPr>
      <w:rFonts w:ascii="Consolas" w:hAnsi="Consolas"/>
      <w:i/>
      <w:color w:val="60A0B0"/>
      <w:sz w:val="22"/>
    </w:rPr>
  </w:style>
  <w:style w:type="character" w:styleId="DocumentationTok" w:customStyle="1">
    <w:name w:val="DocumentationTok"/>
    <w:basedOn w:val="VerbatimChar"/>
    <w:qFormat/>
    <w:rPr>
      <w:rFonts w:ascii="Consolas" w:hAnsi="Consolas"/>
      <w:i/>
      <w:color w:val="BA2121"/>
      <w:sz w:val="22"/>
    </w:rPr>
  </w:style>
  <w:style w:type="character" w:styleId="AnnotationTok" w:customStyle="1">
    <w:name w:val="AnnotationTok"/>
    <w:basedOn w:val="VerbatimChar"/>
    <w:qFormat/>
    <w:rPr>
      <w:rFonts w:ascii="Consolas" w:hAnsi="Consolas"/>
      <w:b/>
      <w:i/>
      <w:color w:val="60A0B0"/>
      <w:sz w:val="22"/>
    </w:rPr>
  </w:style>
  <w:style w:type="character" w:styleId="CommentVarTok" w:customStyle="1">
    <w:name w:val="CommentVarTok"/>
    <w:basedOn w:val="VerbatimChar"/>
    <w:qFormat/>
    <w:rPr>
      <w:rFonts w:ascii="Consolas" w:hAnsi="Consolas"/>
      <w:b/>
      <w:i/>
      <w:color w:val="60A0B0"/>
      <w:sz w:val="22"/>
    </w:rPr>
  </w:style>
  <w:style w:type="character" w:styleId="OtherTok" w:customStyle="1">
    <w:name w:val="OtherTok"/>
    <w:basedOn w:val="VerbatimChar"/>
    <w:qFormat/>
    <w:rPr>
      <w:rFonts w:ascii="Consolas" w:hAnsi="Consolas"/>
      <w:color w:val="007020"/>
      <w:sz w:val="22"/>
    </w:rPr>
  </w:style>
  <w:style w:type="character" w:styleId="FunctionTok" w:customStyle="1">
    <w:name w:val="FunctionTok"/>
    <w:basedOn w:val="VerbatimChar"/>
    <w:qFormat/>
    <w:rPr>
      <w:rFonts w:ascii="Consolas" w:hAnsi="Consolas"/>
      <w:color w:val="06287E"/>
      <w:sz w:val="22"/>
    </w:rPr>
  </w:style>
  <w:style w:type="character" w:styleId="VariableTok" w:customStyle="1">
    <w:name w:val="VariableTok"/>
    <w:basedOn w:val="VerbatimChar"/>
    <w:qFormat/>
    <w:rPr>
      <w:rFonts w:ascii="Consolas" w:hAnsi="Consolas"/>
      <w:color w:val="19177C"/>
      <w:sz w:val="22"/>
    </w:rPr>
  </w:style>
  <w:style w:type="character" w:styleId="ControlFlowTok" w:customStyle="1">
    <w:name w:val="ControlFlowTok"/>
    <w:basedOn w:val="VerbatimChar"/>
    <w:qFormat/>
    <w:rPr>
      <w:rFonts w:ascii="Consolas" w:hAnsi="Consolas"/>
      <w:b/>
      <w:color w:val="007020"/>
      <w:sz w:val="22"/>
    </w:rPr>
  </w:style>
  <w:style w:type="character" w:styleId="OperatorTok" w:customStyle="1">
    <w:name w:val="OperatorTok"/>
    <w:basedOn w:val="VerbatimChar"/>
    <w:qFormat/>
    <w:rPr>
      <w:rFonts w:ascii="Consolas" w:hAnsi="Consolas"/>
      <w:color w:val="666666"/>
      <w:sz w:val="22"/>
    </w:rPr>
  </w:style>
  <w:style w:type="character" w:styleId="BuiltInTok" w:customStyle="1">
    <w:name w:val="BuiltInTok"/>
    <w:basedOn w:val="VerbatimChar"/>
    <w:qFormat/>
    <w:rPr>
      <w:rFonts w:ascii="Consolas" w:hAnsi="Consolas"/>
      <w:sz w:val="22"/>
    </w:rPr>
  </w:style>
  <w:style w:type="character" w:styleId="ExtensionTok" w:customStyle="1">
    <w:name w:val="ExtensionTok"/>
    <w:basedOn w:val="VerbatimChar"/>
    <w:qFormat/>
    <w:rPr>
      <w:rFonts w:ascii="Consolas" w:hAnsi="Consolas"/>
      <w:sz w:val="22"/>
    </w:rPr>
  </w:style>
  <w:style w:type="character" w:styleId="PreprocessorTok" w:customStyle="1">
    <w:name w:val="PreprocessorTok"/>
    <w:basedOn w:val="VerbatimChar"/>
    <w:qFormat/>
    <w:rPr>
      <w:rFonts w:ascii="Consolas" w:hAnsi="Consolas"/>
      <w:color w:val="BC7A00"/>
      <w:sz w:val="22"/>
    </w:rPr>
  </w:style>
  <w:style w:type="character" w:styleId="AttributeTok" w:customStyle="1">
    <w:name w:val="AttributeTok"/>
    <w:basedOn w:val="VerbatimChar"/>
    <w:qFormat/>
    <w:rPr>
      <w:rFonts w:ascii="Consolas" w:hAnsi="Consolas"/>
      <w:color w:val="7D9029"/>
      <w:sz w:val="22"/>
    </w:rPr>
  </w:style>
  <w:style w:type="character" w:styleId="RegionMarkerTok" w:customStyle="1">
    <w:name w:val="RegionMarkerTok"/>
    <w:basedOn w:val="VerbatimChar"/>
    <w:qFormat/>
    <w:rPr>
      <w:rFonts w:ascii="Consolas" w:hAnsi="Consolas"/>
      <w:sz w:val="22"/>
    </w:rPr>
  </w:style>
  <w:style w:type="character" w:styleId="InformationTok" w:customStyle="1">
    <w:name w:val="InformationTok"/>
    <w:basedOn w:val="VerbatimChar"/>
    <w:qFormat/>
    <w:rPr>
      <w:rFonts w:ascii="Consolas" w:hAnsi="Consolas"/>
      <w:b/>
      <w:i/>
      <w:color w:val="60A0B0"/>
      <w:sz w:val="22"/>
    </w:rPr>
  </w:style>
  <w:style w:type="character" w:styleId="WarningTok" w:customStyle="1">
    <w:name w:val="WarningTok"/>
    <w:basedOn w:val="VerbatimChar"/>
    <w:qFormat/>
    <w:rPr>
      <w:rFonts w:ascii="Consolas" w:hAnsi="Consolas"/>
      <w:b/>
      <w:i/>
      <w:color w:val="60A0B0"/>
      <w:sz w:val="22"/>
    </w:rPr>
  </w:style>
  <w:style w:type="character" w:styleId="AlertTok" w:customStyle="1">
    <w:name w:val="AlertTok"/>
    <w:basedOn w:val="VerbatimChar"/>
    <w:qFormat/>
    <w:rPr>
      <w:rFonts w:ascii="Consolas" w:hAnsi="Consolas"/>
      <w:b/>
      <w:color w:val="FF0000"/>
      <w:sz w:val="22"/>
    </w:rPr>
  </w:style>
  <w:style w:type="character" w:styleId="ErrorTok" w:customStyle="1">
    <w:name w:val="ErrorTok"/>
    <w:basedOn w:val="VerbatimChar"/>
    <w:qFormat/>
    <w:rPr>
      <w:rFonts w:ascii="Consolas" w:hAnsi="Consolas"/>
      <w:b/>
      <w:color w:val="FF0000"/>
      <w:sz w:val="22"/>
    </w:rPr>
  </w:style>
  <w:style w:type="character" w:styleId="NormalTok" w:customStyle="1">
    <w:name w:val="NormalTok"/>
    <w:basedOn w:val="VerbatimChar"/>
    <w:qFormat/>
    <w:rPr>
      <w:rFonts w:ascii="Consolas" w:hAnsi="Consolas"/>
      <w:sz w:val="22"/>
    </w:rPr>
  </w:style>
  <w:style w:type="character" w:styleId="ListLabel1" w:customStyle="1">
    <w:name w:val="ListLabel 1"/>
    <w:qFormat/>
    <w:rPr>
      <w:rFonts w:cs="Symbol"/>
    </w:rPr>
  </w:style>
  <w:style w:type="character" w:styleId="ListLabel2" w:customStyle="1">
    <w:name w:val="ListLabel 2"/>
    <w:qFormat/>
    <w:rPr>
      <w:rFonts w:cs="Symbol"/>
    </w:rPr>
  </w:style>
  <w:style w:type="character" w:styleId="ListLabel3" w:customStyle="1">
    <w:name w:val="ListLabel 3"/>
    <w:qFormat/>
    <w:rPr>
      <w:rFonts w:cs="Symbol"/>
    </w:rPr>
  </w:style>
  <w:style w:type="character" w:styleId="ListLabel4" w:customStyle="1">
    <w:name w:val="ListLabel 4"/>
    <w:qFormat/>
    <w:rPr>
      <w:rFonts w:cs="Symbol"/>
    </w:rPr>
  </w:style>
  <w:style w:type="character" w:styleId="ListLabel5" w:customStyle="1">
    <w:name w:val="ListLabel 5"/>
    <w:qFormat/>
    <w:rPr>
      <w:rFonts w:cs="Symbol"/>
    </w:rPr>
  </w:style>
  <w:style w:type="character" w:styleId="ListLabel6" w:customStyle="1">
    <w:name w:val="ListLabel 6"/>
    <w:qFormat/>
    <w:rPr>
      <w:rFonts w:cs="Symbol"/>
    </w:rPr>
  </w:style>
  <w:style w:type="character" w:styleId="ListLabel7" w:customStyle="1">
    <w:name w:val="ListLabel 7"/>
    <w:qFormat/>
    <w:rPr>
      <w:rFonts w:cs="Symbol"/>
    </w:rPr>
  </w:style>
  <w:style w:type="character" w:styleId="ListLabel8" w:customStyle="1">
    <w:name w:val="ListLabel 8"/>
    <w:qFormat/>
    <w:rPr>
      <w:rFonts w:cs="Symbol"/>
    </w:rPr>
  </w:style>
  <w:style w:type="character" w:styleId="ListLabel9" w:customStyle="1">
    <w:name w:val="ListLabel 9"/>
    <w:qFormat/>
    <w:rPr>
      <w:rFonts w:cs="Symbol"/>
    </w:rPr>
  </w:style>
  <w:style w:type="character" w:styleId="ListLabel10" w:customStyle="1">
    <w:name w:val="ListLabel 10"/>
    <w:qFormat/>
    <w:rPr>
      <w:rFonts w:cs="Symbol"/>
    </w:rPr>
  </w:style>
  <w:style w:type="character" w:styleId="ListLabel11" w:customStyle="1">
    <w:name w:val="ListLabel 11"/>
    <w:qFormat/>
    <w:rPr>
      <w:rFonts w:cs="Symbol"/>
    </w:rPr>
  </w:style>
  <w:style w:type="character" w:styleId="ListLabel12" w:customStyle="1">
    <w:name w:val="ListLabel 12"/>
    <w:qFormat/>
    <w:rPr>
      <w:rFonts w:cs="Symbol"/>
    </w:rPr>
  </w:style>
  <w:style w:type="character" w:styleId="ListLabel13" w:customStyle="1">
    <w:name w:val="ListLabel 13"/>
    <w:qFormat/>
    <w:rPr>
      <w:rFonts w:cs="Symbol"/>
    </w:rPr>
  </w:style>
  <w:style w:type="character" w:styleId="ListLabel14" w:customStyle="1">
    <w:name w:val="ListLabel 14"/>
    <w:qFormat/>
    <w:rPr>
      <w:rFonts w:cs="Symbol"/>
    </w:rPr>
  </w:style>
  <w:style w:type="character" w:styleId="TextbublinyChar" w:customStyle="1">
    <w:name w:val="Text bubliny Char"/>
    <w:basedOn w:val="DefaultParagraphFont"/>
    <w:link w:val="Textbubliny"/>
    <w:semiHidden/>
    <w:qFormat/>
    <w:rsid w:val="004a2cf4"/>
    <w:rPr>
      <w:rFonts w:ascii="Segoe UI" w:hAnsi="Segoe UI" w:cs="Segoe UI"/>
      <w:color w:val="00000A"/>
      <w:sz w:val="18"/>
      <w:szCs w:val="18"/>
    </w:rPr>
  </w:style>
  <w:style w:type="character" w:styleId="ZhlavChar" w:customStyle="1">
    <w:name w:val="Záhlaví Char"/>
    <w:basedOn w:val="DefaultParagraphFont"/>
    <w:link w:val="Zhlav"/>
    <w:uiPriority w:val="99"/>
    <w:qFormat/>
    <w:rsid w:val="003a62b9"/>
    <w:rPr>
      <w:color w:val="00000A"/>
      <w:sz w:val="24"/>
    </w:rPr>
  </w:style>
  <w:style w:type="character" w:styleId="ZpatChar" w:customStyle="1">
    <w:name w:val="Zápatí Char"/>
    <w:basedOn w:val="DefaultParagraphFont"/>
    <w:link w:val="Zpat"/>
    <w:qFormat/>
    <w:rsid w:val="003a62b9"/>
    <w:rPr>
      <w:color w:val="00000A"/>
      <w:sz w:val="24"/>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cs="Symbol"/>
    </w:rPr>
  </w:style>
  <w:style w:type="character" w:styleId="ListLabel20">
    <w:name w:val="ListLabel 20"/>
    <w:qFormat/>
    <w:rPr>
      <w:rFonts w:cs="Symbol"/>
    </w:rPr>
  </w:style>
  <w:style w:type="character" w:styleId="ListLabel21">
    <w:name w:val="ListLabel 21"/>
    <w:qFormat/>
    <w:rPr>
      <w:rFonts w:cs="Symbol"/>
    </w:rPr>
  </w:style>
  <w:style w:type="paragraph" w:styleId="Heading" w:customStyle="1">
    <w:name w:val="Heading"/>
    <w:basedOn w:val="Normal"/>
    <w:next w:val="TextBody"/>
    <w:qFormat/>
    <w:pPr>
      <w:keepNext/>
      <w:spacing w:before="240" w:after="120"/>
    </w:pPr>
    <w:rPr>
      <w:rFonts w:ascii="Liberation Sans" w:hAnsi="Liberation Sans" w:eastAsia="Source Han Sans CN Regular" w:cs="Lohit Devanagari"/>
      <w:sz w:val="28"/>
      <w:szCs w:val="28"/>
    </w:rPr>
  </w:style>
  <w:style w:type="paragraph" w:styleId="TextBody">
    <w:name w:val="Body Text"/>
    <w:basedOn w:val="Normal"/>
    <w:qFormat/>
    <w:pPr>
      <w:spacing w:before="180" w:after="18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link w:val="TitulekChar"/>
    <w:qFormat/>
    <w:pPr>
      <w:spacing w:before="0" w:after="120"/>
    </w:pPr>
    <w:rPr>
      <w:i/>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ubtitle">
    <w:name w:val="Subtitle"/>
    <w:basedOn w:val="Title"/>
    <w:qFormat/>
    <w:pPr>
      <w:spacing w:before="240" w:after="240"/>
    </w:pPr>
    <w:rPr>
      <w:sz w:val="30"/>
      <w:szCs w:val="30"/>
    </w:rPr>
  </w:style>
  <w:style w:type="paragraph" w:styleId="Author" w:customStyle="1">
    <w:name w:val="Author"/>
    <w:qFormat/>
    <w:pPr>
      <w:keepNext/>
      <w:keepLines/>
      <w:widowControl/>
      <w:bidi w:val="0"/>
      <w:jc w:val="center"/>
    </w:pPr>
    <w:rPr>
      <w:rFonts w:ascii="Cambria" w:hAnsi="Cambria" w:eastAsia="Cambria" w:cs=""/>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pPr>
    <w:rPr>
      <w:rFonts w:ascii="Calibri" w:hAnsi="Calibri" w:eastAsia="" w:cs="" w:asciiTheme="majorHAnsi" w:cstheme="majorBidi" w:eastAsiaTheme="majorEastAsia" w:hAnsiTheme="majorHAnsi"/>
      <w:bCs/>
      <w:sz w:val="20"/>
      <w:szCs w:val="20"/>
    </w:rPr>
  </w:style>
  <w:style w:type="paragraph" w:styleId="Footnotetext">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1"/>
    <w:qFormat/>
    <w:pPr>
      <w:keepNext/>
    </w:pPr>
    <w:rPr/>
  </w:style>
  <w:style w:type="paragraph" w:styleId="ImageCaption" w:customStyle="1">
    <w:name w:val="Image Caption"/>
    <w:basedOn w:val="Caption1"/>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spacing w:lineRule="auto" w:line="259" w:before="240" w:after="0"/>
    </w:pPr>
    <w:rPr>
      <w:b w:val="false"/>
      <w:bCs w:val="false"/>
      <w:color w:val="365F91" w:themeColor="accent1" w:themeShade="bf"/>
    </w:rPr>
  </w:style>
  <w:style w:type="paragraph" w:styleId="SourceCode" w:customStyle="1">
    <w:name w:val="Source Code"/>
    <w:basedOn w:val="Normal"/>
    <w:link w:val="VerbatimChar"/>
    <w:qFormat/>
    <w:pPr/>
    <w:rPr/>
  </w:style>
  <w:style w:type="paragraph" w:styleId="BalloonText">
    <w:name w:val="Balloon Text"/>
    <w:basedOn w:val="Normal"/>
    <w:link w:val="TextbublinyChar"/>
    <w:semiHidden/>
    <w:unhideWhenUsed/>
    <w:qFormat/>
    <w:rsid w:val="004a2cf4"/>
    <w:pPr>
      <w:spacing w:before="0" w:after="0"/>
    </w:pPr>
    <w:rPr>
      <w:rFonts w:ascii="Segoe UI" w:hAnsi="Segoe UI" w:cs="Segoe UI"/>
      <w:sz w:val="18"/>
      <w:szCs w:val="18"/>
    </w:rPr>
  </w:style>
  <w:style w:type="paragraph" w:styleId="Header">
    <w:name w:val="Header"/>
    <w:basedOn w:val="Normal"/>
    <w:link w:val="ZhlavChar"/>
    <w:uiPriority w:val="99"/>
    <w:unhideWhenUsed/>
    <w:rsid w:val="003a62b9"/>
    <w:pPr>
      <w:tabs>
        <w:tab w:val="center" w:pos="4536" w:leader="none"/>
        <w:tab w:val="right" w:pos="9072" w:leader="none"/>
      </w:tabs>
      <w:spacing w:before="0" w:after="0"/>
    </w:pPr>
    <w:rPr/>
  </w:style>
  <w:style w:type="paragraph" w:styleId="Footer">
    <w:name w:val="Footer"/>
    <w:basedOn w:val="Normal"/>
    <w:link w:val="ZpatChar"/>
    <w:unhideWhenUsed/>
    <w:rsid w:val="003a62b9"/>
    <w:pPr>
      <w:tabs>
        <w:tab w:val="center" w:pos="4536" w:leader="none"/>
        <w:tab w:val="right" w:pos="9072" w:leader="none"/>
      </w:tabs>
      <w:spacing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LibreOffice/5.1.5.2$Linux_X86_64 LibreOffice_project/10$Build-2</Application>
  <Pages>9</Pages>
  <Words>1894</Words>
  <Characters>11096</Characters>
  <CharactersWithSpaces>12776</CharactersWithSpaces>
  <Paragraphs>142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2017-06-28T15:00:00Z</dcterms:created>
  <dc:creator>Hájková Martina Mgr. (IPR/SPE)</dc:creator>
  <dc:description/>
  <dc:language>cs-CZ</dc:language>
  <cp:lastModifiedBy/>
  <cp:lastPrinted>2017-06-28T07:27:00Z</cp:lastPrinted>
  <dcterms:modified xsi:type="dcterms:W3CDTF">2017-08-21T15:10:12Z</dcterms:modified>
  <cp:revision>5</cp:revision>
  <dc:subject/>
  <dc:title>Smlouva o společném zadávání veřejné zakázky na informační systém "Správní informační systém"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