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B7EC" w14:textId="77777777" w:rsidR="00116E4E" w:rsidRDefault="00000000">
      <w:pPr>
        <w:pStyle w:val="Nadpis2"/>
        <w:spacing w:before="77"/>
        <w:ind w:left="438"/>
      </w:pPr>
      <w:r>
        <w:t>SMLOUVA O ÚČASTI NA ŘEŠENÍ PROJEKTU,</w:t>
      </w:r>
    </w:p>
    <w:p w14:paraId="4048B3FF" w14:textId="77777777" w:rsidR="00116E4E" w:rsidRDefault="00000000">
      <w:pPr>
        <w:pStyle w:val="Zkladntext"/>
        <w:ind w:left="439" w:right="542"/>
        <w:jc w:val="center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,</w:t>
      </w:r>
    </w:p>
    <w:p w14:paraId="402E209E" w14:textId="77777777" w:rsidR="00116E4E" w:rsidRDefault="00116E4E">
      <w:pPr>
        <w:pStyle w:val="Zkladntext"/>
        <w:rPr>
          <w:sz w:val="22"/>
        </w:rPr>
      </w:pPr>
    </w:p>
    <w:p w14:paraId="44A62537" w14:textId="77777777" w:rsidR="00116E4E" w:rsidRDefault="00116E4E">
      <w:pPr>
        <w:pStyle w:val="Zkladntext"/>
        <w:rPr>
          <w:sz w:val="22"/>
        </w:rPr>
      </w:pPr>
    </w:p>
    <w:p w14:paraId="34EE8453" w14:textId="77777777" w:rsidR="00116E4E" w:rsidRDefault="00000000">
      <w:pPr>
        <w:pStyle w:val="Nadpis2"/>
        <w:numPr>
          <w:ilvl w:val="0"/>
          <w:numId w:val="15"/>
        </w:numPr>
        <w:tabs>
          <w:tab w:val="left" w:pos="476"/>
        </w:tabs>
        <w:spacing w:before="183"/>
        <w:ind w:right="0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6"/>
        </w:rPr>
        <w:t xml:space="preserve"> </w:t>
      </w:r>
      <w:proofErr w:type="spellStart"/>
      <w:r>
        <w:t>Plzni</w:t>
      </w:r>
      <w:proofErr w:type="spellEnd"/>
    </w:p>
    <w:p w14:paraId="3D5739B9" w14:textId="77777777" w:rsidR="00116E4E" w:rsidRDefault="00000000">
      <w:pPr>
        <w:pStyle w:val="Zkladntext"/>
        <w:ind w:left="476"/>
      </w:pPr>
      <w:r>
        <w:t>IČO: 49777513</w:t>
      </w:r>
    </w:p>
    <w:p w14:paraId="564E3251" w14:textId="77777777" w:rsidR="00116E4E" w:rsidRDefault="00000000">
      <w:pPr>
        <w:pStyle w:val="Zkladntext"/>
        <w:ind w:left="47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10ED2B8A" w14:textId="77777777" w:rsidR="00116E4E" w:rsidRDefault="00000000">
      <w:pPr>
        <w:pStyle w:val="Zkladntext"/>
        <w:ind w:left="476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</w:p>
    <w:p w14:paraId="75AC0600" w14:textId="77777777" w:rsidR="00116E4E" w:rsidRDefault="00000000">
      <w:pPr>
        <w:pStyle w:val="Zkladntext"/>
        <w:spacing w:line="229" w:lineRule="exact"/>
        <w:ind w:left="476"/>
      </w:pPr>
      <w:proofErr w:type="gramStart"/>
      <w:r>
        <w:t>studium</w:t>
      </w:r>
      <w:proofErr w:type="gramEnd"/>
    </w:p>
    <w:p w14:paraId="636F2908" w14:textId="77777777" w:rsidR="00116E4E" w:rsidRDefault="00000000">
      <w:pPr>
        <w:pStyle w:val="Zkladntext"/>
        <w:spacing w:line="229" w:lineRule="exact"/>
        <w:ind w:left="476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3A85FBA3" w14:textId="77777777" w:rsidR="00116E4E" w:rsidRDefault="00000000">
      <w:pPr>
        <w:pStyle w:val="Zkladntext"/>
        <w:spacing w:line="480" w:lineRule="auto"/>
        <w:ind w:left="116" w:right="3377" w:firstLine="359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20095-64738311/0710 ČNB,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Hlavní</w:t>
      </w:r>
      <w:proofErr w:type="spellEnd"/>
      <w:r>
        <w:t xml:space="preserve"> 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</w:p>
    <w:p w14:paraId="41136CFD" w14:textId="77777777" w:rsidR="00116E4E" w:rsidRDefault="00000000">
      <w:pPr>
        <w:pStyle w:val="Zkladntext"/>
        <w:spacing w:before="6"/>
        <w:ind w:left="116"/>
        <w:jc w:val="both"/>
      </w:pPr>
      <w:r>
        <w:rPr>
          <w:w w:val="99"/>
        </w:rPr>
        <w:t>a</w:t>
      </w:r>
    </w:p>
    <w:p w14:paraId="2148F869" w14:textId="77777777" w:rsidR="00116E4E" w:rsidRDefault="00116E4E">
      <w:pPr>
        <w:pStyle w:val="Zkladntext"/>
        <w:spacing w:before="9"/>
        <w:rPr>
          <w:sz w:val="19"/>
        </w:rPr>
      </w:pPr>
    </w:p>
    <w:p w14:paraId="076E8719" w14:textId="77777777" w:rsidR="00116E4E" w:rsidRDefault="00000000">
      <w:pPr>
        <w:pStyle w:val="Nadpis2"/>
        <w:numPr>
          <w:ilvl w:val="0"/>
          <w:numId w:val="15"/>
        </w:numPr>
        <w:tabs>
          <w:tab w:val="left" w:pos="476"/>
        </w:tabs>
        <w:ind w:right="0"/>
        <w:jc w:val="both"/>
      </w:pP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ekonomická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rPr>
          <w:spacing w:val="-29"/>
        </w:rPr>
        <w:t xml:space="preserve"> </w:t>
      </w:r>
      <w:proofErr w:type="spellStart"/>
      <w:r>
        <w:t>Budějovicích</w:t>
      </w:r>
      <w:proofErr w:type="spellEnd"/>
    </w:p>
    <w:p w14:paraId="36419157" w14:textId="77777777" w:rsidR="00116E4E" w:rsidRDefault="00000000">
      <w:pPr>
        <w:pStyle w:val="Zkladntext"/>
        <w:ind w:left="476"/>
      </w:pPr>
      <w:r>
        <w:t>IČO: 75081431</w:t>
      </w:r>
    </w:p>
    <w:p w14:paraId="0C71867C" w14:textId="77777777" w:rsidR="00116E4E" w:rsidRDefault="00000000">
      <w:pPr>
        <w:pStyle w:val="Zkladntext"/>
        <w:ind w:left="47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Okružní</w:t>
      </w:r>
      <w:proofErr w:type="spellEnd"/>
      <w:r>
        <w:t xml:space="preserve"> 517/10, 370 01 </w:t>
      </w:r>
      <w:proofErr w:type="spellStart"/>
      <w:r>
        <w:t>České</w:t>
      </w:r>
      <w:proofErr w:type="spellEnd"/>
      <w:r>
        <w:t xml:space="preserve"> Budějovice</w:t>
      </w:r>
    </w:p>
    <w:p w14:paraId="7A40E848" w14:textId="77777777" w:rsidR="00116E4E" w:rsidRDefault="00000000">
      <w:pPr>
        <w:pStyle w:val="Zkladntext"/>
        <w:ind w:left="476" w:right="1876"/>
      </w:pPr>
      <w:proofErr w:type="spellStart"/>
      <w:r>
        <w:t>zastoupená</w:t>
      </w:r>
      <w:proofErr w:type="spellEnd"/>
      <w:r>
        <w:t xml:space="preserve">: prof. Ing. Markem Vochozkou, MBA, Ph.D., dr. </w:t>
      </w:r>
      <w:proofErr w:type="spellStart"/>
      <w:r>
        <w:t>h.c.</w:t>
      </w:r>
      <w:proofErr w:type="spellEnd"/>
      <w:r>
        <w:t xml:space="preserve">, </w:t>
      </w:r>
      <w:proofErr w:type="spellStart"/>
      <w:r>
        <w:t>rektorem</w:t>
      </w:r>
      <w:proofErr w:type="spellEnd"/>
      <w:r>
        <w:t xml:space="preserve">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2111190117 / 2700</w:t>
      </w:r>
    </w:p>
    <w:p w14:paraId="271C1CED" w14:textId="77777777" w:rsidR="00116E4E" w:rsidRDefault="00000000">
      <w:pPr>
        <w:pStyle w:val="Zkladntext"/>
        <w:ind w:left="476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1“,</w:t>
      </w:r>
    </w:p>
    <w:p w14:paraId="7C8E72DB" w14:textId="77777777" w:rsidR="00116E4E" w:rsidRDefault="00116E4E">
      <w:pPr>
        <w:pStyle w:val="Zkladntext"/>
      </w:pPr>
    </w:p>
    <w:p w14:paraId="7FD935B0" w14:textId="77777777" w:rsidR="00116E4E" w:rsidRDefault="00000000">
      <w:pPr>
        <w:pStyle w:val="Zkladntext"/>
        <w:ind w:left="116"/>
        <w:jc w:val="both"/>
      </w:pPr>
      <w:r>
        <w:rPr>
          <w:w w:val="99"/>
        </w:rPr>
        <w:t>a</w:t>
      </w:r>
    </w:p>
    <w:p w14:paraId="4AEDA423" w14:textId="77777777" w:rsidR="00116E4E" w:rsidRDefault="00116E4E">
      <w:pPr>
        <w:pStyle w:val="Zkladntext"/>
      </w:pPr>
    </w:p>
    <w:p w14:paraId="19BEAEA8" w14:textId="77777777" w:rsidR="00116E4E" w:rsidRDefault="00000000">
      <w:pPr>
        <w:pStyle w:val="Nadpis2"/>
        <w:numPr>
          <w:ilvl w:val="0"/>
          <w:numId w:val="15"/>
        </w:numPr>
        <w:tabs>
          <w:tab w:val="left" w:pos="477"/>
        </w:tabs>
        <w:spacing w:line="229" w:lineRule="exact"/>
        <w:ind w:right="0"/>
        <w:jc w:val="both"/>
      </w:pPr>
      <w:proofErr w:type="spellStart"/>
      <w:r>
        <w:t>Ústav</w:t>
      </w:r>
      <w:proofErr w:type="spellEnd"/>
      <w:r>
        <w:t xml:space="preserve"> </w:t>
      </w:r>
      <w:proofErr w:type="spellStart"/>
      <w:r>
        <w:t>materiálového</w:t>
      </w:r>
      <w:proofErr w:type="spellEnd"/>
      <w:r>
        <w:t xml:space="preserve"> </w:t>
      </w:r>
      <w:proofErr w:type="spellStart"/>
      <w:r>
        <w:t>výskumu</w:t>
      </w:r>
      <w:proofErr w:type="spellEnd"/>
      <w:r>
        <w:t xml:space="preserve"> SAV, v. v.</w:t>
      </w:r>
      <w:r>
        <w:rPr>
          <w:spacing w:val="-21"/>
        </w:rPr>
        <w:t xml:space="preserve"> </w:t>
      </w:r>
      <w:proofErr w:type="spellStart"/>
      <w:r>
        <w:t>i</w:t>
      </w:r>
      <w:proofErr w:type="spellEnd"/>
      <w:r>
        <w:t>.</w:t>
      </w:r>
    </w:p>
    <w:p w14:paraId="433F11A3" w14:textId="77777777" w:rsidR="00116E4E" w:rsidRDefault="00000000">
      <w:pPr>
        <w:pStyle w:val="Zkladntext"/>
        <w:spacing w:line="229" w:lineRule="exact"/>
        <w:ind w:left="476"/>
      </w:pPr>
      <w:r>
        <w:t>IČO: 00166804</w:t>
      </w:r>
    </w:p>
    <w:p w14:paraId="6594734D" w14:textId="77777777" w:rsidR="00116E4E" w:rsidRDefault="00000000">
      <w:pPr>
        <w:pStyle w:val="Zkladntext"/>
        <w:spacing w:before="1"/>
        <w:ind w:left="47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Watsonova</w:t>
      </w:r>
      <w:proofErr w:type="spellEnd"/>
      <w:r>
        <w:t xml:space="preserve"> 47, 040 01 </w:t>
      </w:r>
      <w:proofErr w:type="spellStart"/>
      <w:r>
        <w:t>Košice</w:t>
      </w:r>
      <w:proofErr w:type="spellEnd"/>
      <w:r>
        <w:t xml:space="preserve">, </w:t>
      </w:r>
      <w:proofErr w:type="spellStart"/>
      <w:r>
        <w:t>Slovensko</w:t>
      </w:r>
      <w:proofErr w:type="spellEnd"/>
    </w:p>
    <w:p w14:paraId="0B18500E" w14:textId="77777777" w:rsidR="00116E4E" w:rsidRDefault="00000000">
      <w:pPr>
        <w:pStyle w:val="Zkladntext"/>
        <w:ind w:left="476"/>
      </w:pPr>
      <w:proofErr w:type="spellStart"/>
      <w:proofErr w:type="gramStart"/>
      <w:r>
        <w:t>zastoupená:Ing</w:t>
      </w:r>
      <w:proofErr w:type="spellEnd"/>
      <w:proofErr w:type="gramEnd"/>
      <w:r>
        <w:t xml:space="preserve">. </w:t>
      </w:r>
      <w:proofErr w:type="spellStart"/>
      <w:r>
        <w:t>Ľubomírom</w:t>
      </w:r>
      <w:proofErr w:type="spellEnd"/>
      <w:r>
        <w:t xml:space="preserve"> </w:t>
      </w:r>
      <w:proofErr w:type="spellStart"/>
      <w:r>
        <w:t>Medveckým</w:t>
      </w:r>
      <w:proofErr w:type="spellEnd"/>
      <w:r>
        <w:t xml:space="preserve">, </w:t>
      </w:r>
      <w:proofErr w:type="spellStart"/>
      <w:r>
        <w:t>DrSc</w:t>
      </w:r>
      <w:proofErr w:type="spellEnd"/>
      <w:r>
        <w:t xml:space="preserve">., </w:t>
      </w:r>
      <w:proofErr w:type="spellStart"/>
      <w:r>
        <w:t>zastupujúci</w:t>
      </w:r>
      <w:proofErr w:type="spellEnd"/>
      <w:r>
        <w:t xml:space="preserve"> </w:t>
      </w:r>
      <w:proofErr w:type="spellStart"/>
      <w:r>
        <w:t>riaditeľ</w:t>
      </w:r>
      <w:proofErr w:type="spellEnd"/>
    </w:p>
    <w:p w14:paraId="3EC3DEF6" w14:textId="77777777" w:rsidR="00116E4E" w:rsidRDefault="00000000">
      <w:pPr>
        <w:pStyle w:val="Zkladntext"/>
        <w:ind w:left="476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proofErr w:type="gramStart"/>
      <w:r>
        <w:t>inštitúcií</w:t>
      </w:r>
      <w:proofErr w:type="spellEnd"/>
      <w:r>
        <w:t xml:space="preserve">  </w:t>
      </w:r>
      <w:proofErr w:type="spellStart"/>
      <w:r>
        <w:t>vedeným</w:t>
      </w:r>
      <w:proofErr w:type="spellEnd"/>
      <w:proofErr w:type="gramEnd"/>
      <w:r>
        <w:t xml:space="preserve"> </w:t>
      </w:r>
      <w:proofErr w:type="spellStart"/>
      <w:r>
        <w:t>Ministerstvom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výskumu</w:t>
      </w:r>
      <w:proofErr w:type="spellEnd"/>
      <w:r>
        <w:t>,</w:t>
      </w:r>
    </w:p>
    <w:p w14:paraId="7B4D4DD8" w14:textId="77777777" w:rsidR="00116E4E" w:rsidRDefault="00000000">
      <w:pPr>
        <w:pStyle w:val="Zkladntext"/>
        <w:spacing w:line="229" w:lineRule="exact"/>
        <w:ind w:left="476"/>
      </w:pPr>
      <w:proofErr w:type="spellStart"/>
      <w:r>
        <w:t>vývoja</w:t>
      </w:r>
      <w:proofErr w:type="spellEnd"/>
      <w:r>
        <w:t xml:space="preserve"> a </w:t>
      </w:r>
      <w:proofErr w:type="spellStart"/>
      <w:r>
        <w:t>mládeže</w:t>
      </w:r>
      <w:proofErr w:type="spellEnd"/>
      <w:r>
        <w:t xml:space="preserve"> SR</w:t>
      </w:r>
    </w:p>
    <w:p w14:paraId="5FB04670" w14:textId="77777777" w:rsidR="00116E4E" w:rsidRDefault="00000000">
      <w:pPr>
        <w:pStyle w:val="Zkladntext"/>
        <w:spacing w:line="229" w:lineRule="exact"/>
        <w:ind w:left="47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SK11 8180 0000 0070 0072 2101</w:t>
      </w:r>
    </w:p>
    <w:p w14:paraId="088B10FB" w14:textId="77777777" w:rsidR="00116E4E" w:rsidRDefault="00000000">
      <w:pPr>
        <w:pStyle w:val="Zkladntext"/>
        <w:spacing w:before="1"/>
        <w:ind w:left="543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2“,</w:t>
      </w:r>
    </w:p>
    <w:p w14:paraId="5A171BF0" w14:textId="77777777" w:rsidR="00116E4E" w:rsidRDefault="00116E4E">
      <w:pPr>
        <w:pStyle w:val="Zkladntext"/>
        <w:rPr>
          <w:sz w:val="22"/>
        </w:rPr>
      </w:pPr>
    </w:p>
    <w:p w14:paraId="4397AD37" w14:textId="77777777" w:rsidR="00116E4E" w:rsidRDefault="00116E4E">
      <w:pPr>
        <w:pStyle w:val="Zkladntext"/>
        <w:rPr>
          <w:sz w:val="22"/>
        </w:rPr>
      </w:pPr>
    </w:p>
    <w:p w14:paraId="2CDCE774" w14:textId="77777777" w:rsidR="00116E4E" w:rsidRDefault="00116E4E">
      <w:pPr>
        <w:pStyle w:val="Zkladntext"/>
        <w:rPr>
          <w:sz w:val="22"/>
        </w:rPr>
      </w:pPr>
    </w:p>
    <w:p w14:paraId="31A82A21" w14:textId="77777777" w:rsidR="00116E4E" w:rsidRDefault="00000000">
      <w:pPr>
        <w:pStyle w:val="Zkladntext"/>
        <w:spacing w:before="161"/>
        <w:ind w:left="116" w:right="217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1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proofErr w:type="gramStart"/>
      <w:r>
        <w:t>účastníci</w:t>
      </w:r>
      <w:proofErr w:type="spellEnd"/>
      <w:r>
        <w:t xml:space="preserve">“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proofErr w:type="gramStart"/>
      <w:r>
        <w:t>účastník</w:t>
      </w:r>
      <w:proofErr w:type="spellEnd"/>
      <w:r>
        <w:t>“</w:t>
      </w:r>
      <w:proofErr w:type="gram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;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 xml:space="preserve">“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</w:p>
    <w:p w14:paraId="1B64F76D" w14:textId="77777777" w:rsidR="00116E4E" w:rsidRDefault="00000000">
      <w:pPr>
        <w:pStyle w:val="Zkladntext"/>
        <w:ind w:left="116"/>
        <w:jc w:val="both"/>
      </w:pPr>
      <w:r>
        <w:t>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strana</w:t>
      </w:r>
      <w:proofErr w:type="spellEnd"/>
      <w:r>
        <w:t>“</w:t>
      </w:r>
      <w:proofErr w:type="gramEnd"/>
      <w:r>
        <w:t>.</w:t>
      </w:r>
    </w:p>
    <w:p w14:paraId="0B74D65C" w14:textId="77777777" w:rsidR="00116E4E" w:rsidRDefault="00116E4E">
      <w:pPr>
        <w:pStyle w:val="Zkladntext"/>
      </w:pPr>
    </w:p>
    <w:p w14:paraId="1C503F05" w14:textId="77777777" w:rsidR="00116E4E" w:rsidRDefault="00000000">
      <w:pPr>
        <w:pStyle w:val="Zkladntext"/>
        <w:ind w:left="116" w:right="21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proofErr w:type="gramStart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proofErr w:type="gramEnd"/>
      <w:r>
        <w:t xml:space="preserve"> „</w:t>
      </w:r>
      <w:proofErr w:type="spellStart"/>
      <w:proofErr w:type="gramStart"/>
      <w:r>
        <w:t>Zákon</w:t>
      </w:r>
      <w:proofErr w:type="spellEnd"/>
      <w:r>
        <w:t>“</w:t>
      </w:r>
      <w:proofErr w:type="gramEnd"/>
      <w:r>
        <w:t xml:space="preserve">)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3"/>
        </w:rPr>
        <w:t xml:space="preserve"> </w:t>
      </w:r>
      <w:r>
        <w:t>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):</w:t>
      </w:r>
    </w:p>
    <w:p w14:paraId="4D8E741D" w14:textId="77777777" w:rsidR="00116E4E" w:rsidRDefault="00116E4E">
      <w:pPr>
        <w:pStyle w:val="Zkladntext"/>
        <w:rPr>
          <w:sz w:val="22"/>
        </w:rPr>
      </w:pPr>
    </w:p>
    <w:p w14:paraId="6D095972" w14:textId="77777777" w:rsidR="00116E4E" w:rsidRDefault="00116E4E">
      <w:pPr>
        <w:pStyle w:val="Zkladntext"/>
        <w:spacing w:before="10"/>
        <w:rPr>
          <w:sz w:val="17"/>
        </w:rPr>
      </w:pPr>
    </w:p>
    <w:p w14:paraId="1AB94D3F" w14:textId="77777777" w:rsidR="00116E4E" w:rsidRDefault="00000000">
      <w:pPr>
        <w:pStyle w:val="Zkladntext"/>
        <w:ind w:left="442" w:right="542"/>
        <w:jc w:val="center"/>
      </w:pPr>
      <w:proofErr w:type="spellStart"/>
      <w:r>
        <w:t>Čl</w:t>
      </w:r>
      <w:proofErr w:type="spellEnd"/>
      <w:r>
        <w:t>. I.</w:t>
      </w:r>
    </w:p>
    <w:p w14:paraId="51D533D7" w14:textId="77777777" w:rsidR="00116E4E" w:rsidRDefault="00000000">
      <w:pPr>
        <w:pStyle w:val="Nadpis2"/>
        <w:ind w:left="440"/>
      </w:pPr>
      <w:proofErr w:type="spellStart"/>
      <w:r>
        <w:t>Předmět</w:t>
      </w:r>
      <w:proofErr w:type="spellEnd"/>
      <w:r>
        <w:t xml:space="preserve"> Smlouvy</w:t>
      </w:r>
    </w:p>
    <w:p w14:paraId="7B32A3A8" w14:textId="77777777" w:rsidR="00116E4E" w:rsidRDefault="00116E4E">
      <w:pPr>
        <w:pStyle w:val="Zkladntext"/>
        <w:rPr>
          <w:b/>
        </w:rPr>
      </w:pPr>
    </w:p>
    <w:p w14:paraId="60BD5B17" w14:textId="77777777" w:rsidR="00116E4E" w:rsidRDefault="00000000">
      <w:pPr>
        <w:pStyle w:val="Odstavecseseznamem"/>
        <w:numPr>
          <w:ilvl w:val="0"/>
          <w:numId w:val="14"/>
        </w:numPr>
        <w:tabs>
          <w:tab w:val="left" w:pos="1181"/>
          <w:tab w:val="left" w:pos="1182"/>
        </w:tabs>
        <w:spacing w:before="0"/>
        <w:ind w:right="216" w:hanging="427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Vysoce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entropické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slitiny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udržitelné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vodíkové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technologie</w:t>
      </w:r>
      <w:proofErr w:type="spellEnd"/>
      <w:r>
        <w:rPr>
          <w:sz w:val="20"/>
        </w:rPr>
        <w:t xml:space="preserve">“ a </w:t>
      </w:r>
      <w:proofErr w:type="spellStart"/>
      <w:r>
        <w:rPr>
          <w:sz w:val="20"/>
        </w:rPr>
        <w:t>číslem</w:t>
      </w:r>
      <w:proofErr w:type="spellEnd"/>
      <w:r>
        <w:rPr>
          <w:sz w:val="20"/>
        </w:rPr>
        <w:t>: „TS02030229“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„Projekt“) </w:t>
      </w:r>
      <w:proofErr w:type="spellStart"/>
      <w:r>
        <w:rPr>
          <w:sz w:val="20"/>
        </w:rPr>
        <w:t>realizujícím</w:t>
      </w:r>
      <w:proofErr w:type="spellEnd"/>
      <w:r>
        <w:rPr>
          <w:sz w:val="20"/>
        </w:rPr>
        <w:t xml:space="preserve"> program  </w:t>
      </w:r>
      <w:proofErr w:type="spellStart"/>
      <w:r>
        <w:rPr>
          <w:sz w:val="20"/>
        </w:rPr>
        <w:t>Technologické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agentury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 „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“ 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 „TA  ČR“) 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THÉTA  2 – 2. </w:t>
      </w:r>
      <w:proofErr w:type="spellStart"/>
      <w:r>
        <w:rPr>
          <w:sz w:val="20"/>
        </w:rPr>
        <w:t>veřejná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soutěž</w:t>
      </w:r>
      <w:proofErr w:type="spellEnd"/>
      <w:r>
        <w:rPr>
          <w:sz w:val="20"/>
        </w:rPr>
        <w:t>.</w:t>
      </w:r>
    </w:p>
    <w:p w14:paraId="5B5C7352" w14:textId="77777777" w:rsidR="00116E4E" w:rsidRDefault="00116E4E">
      <w:pPr>
        <w:jc w:val="both"/>
        <w:rPr>
          <w:sz w:val="20"/>
        </w:rPr>
        <w:sectPr w:rsidR="00116E4E">
          <w:footerReference w:type="default" r:id="rId7"/>
          <w:type w:val="continuous"/>
          <w:pgSz w:w="11910" w:h="16840"/>
          <w:pgMar w:top="1320" w:right="1200" w:bottom="920" w:left="1300" w:header="708" w:footer="726" w:gutter="0"/>
          <w:pgNumType w:start="1"/>
          <w:cols w:space="708"/>
        </w:sectPr>
      </w:pPr>
    </w:p>
    <w:p w14:paraId="04C0F532" w14:textId="77777777" w:rsidR="00116E4E" w:rsidRDefault="00000000">
      <w:pPr>
        <w:pStyle w:val="Odstavecseseznamem"/>
        <w:numPr>
          <w:ilvl w:val="0"/>
          <w:numId w:val="14"/>
        </w:numPr>
        <w:tabs>
          <w:tab w:val="left" w:pos="544"/>
        </w:tabs>
        <w:spacing w:before="77"/>
        <w:ind w:right="216" w:hanging="427"/>
        <w:jc w:val="both"/>
        <w:rPr>
          <w:sz w:val="20"/>
        </w:rPr>
      </w:pPr>
      <w:proofErr w:type="spellStart"/>
      <w:r>
        <w:rPr>
          <w:sz w:val="20"/>
        </w:rPr>
        <w:lastRenderedPageBreak/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příjemcem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poskytnuta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účastníkům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hmotnému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duševnímu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98B41EC" w14:textId="77777777" w:rsidR="00116E4E" w:rsidRDefault="00116E4E">
      <w:pPr>
        <w:pStyle w:val="Zkladntext"/>
        <w:rPr>
          <w:sz w:val="22"/>
        </w:rPr>
      </w:pPr>
    </w:p>
    <w:p w14:paraId="6E6CF4DD" w14:textId="77777777" w:rsidR="00116E4E" w:rsidRDefault="00116E4E">
      <w:pPr>
        <w:pStyle w:val="Zkladntext"/>
        <w:spacing w:before="10"/>
        <w:rPr>
          <w:sz w:val="17"/>
        </w:rPr>
      </w:pPr>
    </w:p>
    <w:p w14:paraId="64FAC57C" w14:textId="77777777" w:rsidR="00116E4E" w:rsidRDefault="00000000">
      <w:pPr>
        <w:pStyle w:val="Zkladntext"/>
        <w:ind w:left="439" w:right="542"/>
        <w:jc w:val="center"/>
      </w:pPr>
      <w:proofErr w:type="spellStart"/>
      <w:r>
        <w:t>Čl</w:t>
      </w:r>
      <w:proofErr w:type="spellEnd"/>
      <w:r>
        <w:t>. II.</w:t>
      </w:r>
    </w:p>
    <w:p w14:paraId="037701FD" w14:textId="77777777" w:rsidR="00116E4E" w:rsidRDefault="00000000">
      <w:pPr>
        <w:pStyle w:val="Nadpis2"/>
        <w:ind w:left="441"/>
      </w:pPr>
      <w:proofErr w:type="spellStart"/>
      <w:r>
        <w:t>Podmínky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793F585" w14:textId="77777777" w:rsidR="00116E4E" w:rsidRDefault="00116E4E">
      <w:pPr>
        <w:pStyle w:val="Zkladntext"/>
        <w:rPr>
          <w:b/>
        </w:rPr>
      </w:pPr>
    </w:p>
    <w:p w14:paraId="523EA20B" w14:textId="77777777" w:rsidR="00116E4E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"/>
        <w:ind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strany</w:t>
      </w:r>
      <w:proofErr w:type="spellEnd"/>
      <w:r>
        <w:rPr>
          <w:sz w:val="20"/>
        </w:rPr>
        <w:t xml:space="preserve">  se</w:t>
      </w:r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zavazují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řešit</w:t>
      </w:r>
      <w:proofErr w:type="spellEnd"/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>Projekt  v</w:t>
      </w:r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souladu</w:t>
      </w:r>
      <w:proofErr w:type="spellEnd"/>
      <w:r>
        <w:rPr>
          <w:sz w:val="20"/>
        </w:rPr>
        <w:t xml:space="preserve">  s</w:t>
      </w:r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touto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zadávací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dokumentací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THÉTA 2 – 2. </w:t>
      </w:r>
      <w:proofErr w:type="spellStart"/>
      <w:r>
        <w:rPr>
          <w:sz w:val="20"/>
        </w:rPr>
        <w:t>veřejná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soutěž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Závazné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parametry</w:t>
      </w:r>
      <w:proofErr w:type="spellEnd"/>
      <w:r>
        <w:rPr>
          <w:sz w:val="20"/>
        </w:rPr>
        <w:t xml:space="preserve">“) a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TA ČR </w:t>
      </w:r>
      <w:proofErr w:type="spellStart"/>
      <w:r>
        <w:rPr>
          <w:sz w:val="20"/>
        </w:rPr>
        <w:t>verze</w:t>
      </w:r>
      <w:proofErr w:type="spellEnd"/>
      <w:r>
        <w:rPr>
          <w:sz w:val="20"/>
        </w:rPr>
        <w:t xml:space="preserve"> 8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Všeobecné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“). Je-li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zmíněna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a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>.</w:t>
      </w:r>
    </w:p>
    <w:p w14:paraId="47DB58B6" w14:textId="77777777" w:rsidR="00116E4E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8"/>
        <w:ind w:hanging="357"/>
        <w:jc w:val="both"/>
        <w:rPr>
          <w:sz w:val="20"/>
        </w:rPr>
      </w:pPr>
      <w:r>
        <w:rPr>
          <w:sz w:val="20"/>
        </w:rPr>
        <w:t xml:space="preserve">Text 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závazného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dispozici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webových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stránkách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hyperlink r:id="rId8">
        <w:r>
          <w:rPr>
            <w:color w:val="0563C1"/>
            <w:sz w:val="20"/>
            <w:u w:val="single" w:color="0563C1"/>
          </w:rPr>
          <w:t xml:space="preserve">https://tacr.gov.cz/soutez/nezarazeno/druha-verejna-soutez-10/ </w:t>
        </w:r>
      </w:hyperlink>
      <w:r>
        <w:rPr>
          <w:sz w:val="20"/>
        </w:rPr>
        <w:t xml:space="preserve">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stvrzuje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s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seznámil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Kopii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>.</w:t>
      </w:r>
    </w:p>
    <w:p w14:paraId="44E71A5B" w14:textId="77777777" w:rsidR="00116E4E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7"/>
        <w:ind w:left="473" w:right="213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vázán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4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),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k  </w:t>
      </w:r>
      <w:proofErr w:type="spellStart"/>
      <w:r>
        <w:rPr>
          <w:sz w:val="20"/>
        </w:rPr>
        <w:t>zajištění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dodržování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70EADF89" w14:textId="77777777" w:rsidR="00116E4E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9"/>
        <w:ind w:left="473" w:right="216"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7D8E79BC" w14:textId="77777777" w:rsidR="00116E4E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7"/>
        <w:ind w:left="473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obsažená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vykládána</w:t>
      </w:r>
      <w:proofErr w:type="spellEnd"/>
      <w:r>
        <w:rPr>
          <w:sz w:val="20"/>
        </w:rPr>
        <w:t xml:space="preserve">       a </w:t>
      </w:r>
      <w:proofErr w:type="spellStart"/>
      <w:r>
        <w:rPr>
          <w:sz w:val="20"/>
        </w:rPr>
        <w:t>naplňována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Naplňování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>.</w:t>
      </w:r>
    </w:p>
    <w:p w14:paraId="5DE121F2" w14:textId="77777777" w:rsidR="00116E4E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7"/>
        <w:ind w:left="473" w:right="216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směřující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realizaci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další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úkony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nutné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realizaci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0E03C79" w14:textId="77777777" w:rsidR="00116E4E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9"/>
        <w:ind w:left="473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Projekt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deklarovaných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ze </w:t>
      </w:r>
      <w:proofErr w:type="spellStart"/>
      <w:r>
        <w:rPr>
          <w:sz w:val="20"/>
        </w:rPr>
        <w:t>schváleného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>.</w:t>
      </w:r>
    </w:p>
    <w:p w14:paraId="557CB596" w14:textId="77777777" w:rsidR="00116E4E" w:rsidRDefault="00116E4E">
      <w:pPr>
        <w:pStyle w:val="Zkladntext"/>
        <w:rPr>
          <w:sz w:val="22"/>
        </w:rPr>
      </w:pPr>
    </w:p>
    <w:p w14:paraId="2C4F2E35" w14:textId="77777777" w:rsidR="00116E4E" w:rsidRDefault="00116E4E">
      <w:pPr>
        <w:pStyle w:val="Zkladntext"/>
        <w:spacing w:before="7"/>
        <w:rPr>
          <w:sz w:val="18"/>
        </w:rPr>
      </w:pPr>
    </w:p>
    <w:p w14:paraId="74AC849D" w14:textId="77777777" w:rsidR="00116E4E" w:rsidRDefault="00000000">
      <w:pPr>
        <w:pStyle w:val="Zkladntext"/>
        <w:ind w:left="455" w:right="201"/>
        <w:jc w:val="center"/>
      </w:pPr>
      <w:proofErr w:type="spellStart"/>
      <w:r>
        <w:t>Čl</w:t>
      </w:r>
      <w:proofErr w:type="spellEnd"/>
      <w:r>
        <w:t>. III.</w:t>
      </w:r>
    </w:p>
    <w:p w14:paraId="19686151" w14:textId="77777777" w:rsidR="00116E4E" w:rsidRDefault="00000000">
      <w:pPr>
        <w:pStyle w:val="Nadpis2"/>
        <w:ind w:left="455" w:right="203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řešitelé</w:t>
      </w:r>
      <w:proofErr w:type="spellEnd"/>
    </w:p>
    <w:p w14:paraId="546A11A7" w14:textId="77777777" w:rsidR="00116E4E" w:rsidRDefault="00000000">
      <w:pPr>
        <w:pStyle w:val="Odstavecseseznamem"/>
        <w:numPr>
          <w:ilvl w:val="0"/>
          <w:numId w:val="12"/>
        </w:numPr>
        <w:tabs>
          <w:tab w:val="left" w:pos="474"/>
        </w:tabs>
        <w:ind w:right="21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60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04341A79" w14:textId="77777777" w:rsidR="00116E4E" w:rsidRDefault="00000000">
      <w:pPr>
        <w:pStyle w:val="Odstavecseseznamem"/>
        <w:numPr>
          <w:ilvl w:val="0"/>
          <w:numId w:val="12"/>
        </w:numPr>
        <w:tabs>
          <w:tab w:val="left" w:pos="474"/>
        </w:tabs>
        <w:spacing w:before="117"/>
        <w:ind w:right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</w:t>
      </w:r>
      <w:r>
        <w:rPr>
          <w:spacing w:val="-32"/>
          <w:sz w:val="20"/>
        </w:rPr>
        <w:t xml:space="preserve"> </w:t>
      </w:r>
      <w:r>
        <w:rPr>
          <w:sz w:val="20"/>
        </w:rPr>
        <w:t>31.12.2030.</w:t>
      </w:r>
    </w:p>
    <w:p w14:paraId="5DE84F86" w14:textId="75CBE9BE" w:rsidR="00116E4E" w:rsidRDefault="00000000">
      <w:pPr>
        <w:pStyle w:val="Odstavecseseznamem"/>
        <w:numPr>
          <w:ilvl w:val="0"/>
          <w:numId w:val="12"/>
        </w:numPr>
        <w:tabs>
          <w:tab w:val="left" w:pos="474"/>
        </w:tabs>
        <w:ind w:right="220"/>
        <w:jc w:val="both"/>
        <w:rPr>
          <w:sz w:val="20"/>
        </w:rPr>
      </w:pP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) </w:t>
      </w:r>
      <w:proofErr w:type="gramStart"/>
      <w:r>
        <w:rPr>
          <w:sz w:val="20"/>
        </w:rPr>
        <w:t>je :</w:t>
      </w:r>
      <w:proofErr w:type="gramEnd"/>
      <w:r>
        <w:rPr>
          <w:sz w:val="20"/>
        </w:rPr>
        <w:t xml:space="preserve"> </w:t>
      </w:r>
      <w:proofErr w:type="spellStart"/>
      <w:r w:rsidR="00EE735E">
        <w:rPr>
          <w:sz w:val="20"/>
        </w:rPr>
        <w:t>xxxxxxx</w:t>
      </w:r>
      <w:proofErr w:type="spellEnd"/>
      <w:r>
        <w:rPr>
          <w:sz w:val="20"/>
        </w:rPr>
        <w:t>.</w:t>
      </w:r>
    </w:p>
    <w:p w14:paraId="343FB108" w14:textId="2240E061" w:rsidR="00116E4E" w:rsidRDefault="00000000">
      <w:pPr>
        <w:pStyle w:val="Zkladntext"/>
        <w:spacing w:before="120"/>
        <w:ind w:left="473" w:right="218"/>
        <w:jc w:val="both"/>
      </w:pP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odpovědná</w:t>
      </w:r>
      <w:proofErr w:type="spellEnd"/>
      <w:r>
        <w:t xml:space="preserve"> za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(</w:t>
      </w:r>
      <w:proofErr w:type="spellStart"/>
      <w:proofErr w:type="gramStart"/>
      <w:r>
        <w:t>další</w:t>
      </w:r>
      <w:proofErr w:type="spellEnd"/>
      <w:r>
        <w:t xml:space="preserve">  </w:t>
      </w:r>
      <w:proofErr w:type="spellStart"/>
      <w:r>
        <w:t>řešitel</w:t>
      </w:r>
      <w:proofErr w:type="spellEnd"/>
      <w:proofErr w:type="gramEnd"/>
      <w:r>
        <w:t xml:space="preserve">) je u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1: </w:t>
      </w:r>
      <w:proofErr w:type="spellStart"/>
      <w:r w:rsidR="00EE735E">
        <w:t>xxxxxx</w:t>
      </w:r>
      <w:proofErr w:type="spellEnd"/>
      <w:r>
        <w:t xml:space="preserve">., a u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2: </w:t>
      </w:r>
      <w:proofErr w:type="spellStart"/>
      <w:r w:rsidR="00EE735E">
        <w:t>xxxxxxx</w:t>
      </w:r>
      <w:proofErr w:type="spellEnd"/>
    </w:p>
    <w:p w14:paraId="0A774239" w14:textId="77777777" w:rsidR="00116E4E" w:rsidRDefault="00000000">
      <w:pPr>
        <w:pStyle w:val="Odstavecseseznamem"/>
        <w:numPr>
          <w:ilvl w:val="0"/>
          <w:numId w:val="12"/>
        </w:numPr>
        <w:tabs>
          <w:tab w:val="left" w:pos="474"/>
        </w:tabs>
        <w:spacing w:before="117"/>
        <w:ind w:right="219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účasti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schůzkách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věcného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svolává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Schůzky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realizovány</w:t>
      </w:r>
      <w:proofErr w:type="spellEnd"/>
    </w:p>
    <w:p w14:paraId="1C342EAB" w14:textId="77777777" w:rsidR="00116E4E" w:rsidRDefault="00116E4E">
      <w:pPr>
        <w:jc w:val="both"/>
        <w:rPr>
          <w:sz w:val="20"/>
        </w:rPr>
        <w:sectPr w:rsidR="00116E4E">
          <w:pgSz w:w="11910" w:h="16840"/>
          <w:pgMar w:top="1320" w:right="1200" w:bottom="920" w:left="1300" w:header="0" w:footer="726" w:gutter="0"/>
          <w:cols w:space="708"/>
        </w:sectPr>
      </w:pPr>
    </w:p>
    <w:p w14:paraId="18EF252C" w14:textId="77777777" w:rsidR="00116E4E" w:rsidRDefault="00000000">
      <w:pPr>
        <w:pStyle w:val="Zkladntext"/>
        <w:spacing w:before="77"/>
        <w:ind w:left="473"/>
        <w:rPr>
          <w:rFonts w:ascii="Calibri" w:hAnsi="Calibri"/>
          <w:sz w:val="22"/>
        </w:rPr>
      </w:pPr>
      <w:r>
        <w:lastRenderedPageBreak/>
        <w:t xml:space="preserve">za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komunikačních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. Schůzek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řešitel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řešitel</w:t>
      </w:r>
      <w:proofErr w:type="spellEnd"/>
      <w:r>
        <w:rPr>
          <w:rFonts w:ascii="Calibri" w:hAnsi="Calibri"/>
          <w:sz w:val="22"/>
        </w:rPr>
        <w:t>.</w:t>
      </w:r>
    </w:p>
    <w:p w14:paraId="2971D4AA" w14:textId="77777777" w:rsidR="00116E4E" w:rsidRDefault="00116E4E">
      <w:pPr>
        <w:pStyle w:val="Zkladntext"/>
        <w:spacing w:before="8"/>
        <w:rPr>
          <w:rFonts w:ascii="Calibri"/>
          <w:sz w:val="28"/>
        </w:rPr>
      </w:pPr>
    </w:p>
    <w:p w14:paraId="0EF842C5" w14:textId="77777777" w:rsidR="00116E4E" w:rsidRDefault="00000000">
      <w:pPr>
        <w:pStyle w:val="Zkladntext"/>
        <w:spacing w:before="1"/>
        <w:ind w:left="438" w:right="542"/>
        <w:jc w:val="center"/>
      </w:pPr>
      <w:proofErr w:type="spellStart"/>
      <w:r>
        <w:t>Čl</w:t>
      </w:r>
      <w:proofErr w:type="spellEnd"/>
      <w:r>
        <w:t>. IV.</w:t>
      </w:r>
    </w:p>
    <w:p w14:paraId="65263E34" w14:textId="77777777" w:rsidR="00116E4E" w:rsidRDefault="00000000">
      <w:pPr>
        <w:pStyle w:val="Nadpis2"/>
        <w:ind w:left="440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</w:p>
    <w:p w14:paraId="072D4B67" w14:textId="77777777" w:rsidR="00116E4E" w:rsidRDefault="00116E4E">
      <w:pPr>
        <w:pStyle w:val="Zkladntext"/>
        <w:spacing w:before="9"/>
        <w:rPr>
          <w:b/>
          <w:sz w:val="19"/>
        </w:rPr>
      </w:pPr>
    </w:p>
    <w:p w14:paraId="6FB26137" w14:textId="77777777" w:rsidR="00116E4E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0"/>
        <w:ind w:hanging="357"/>
        <w:jc w:val="both"/>
        <w:rPr>
          <w:sz w:val="20"/>
        </w:rPr>
      </w:pP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gramStart"/>
      <w:r>
        <w:rPr>
          <w:sz w:val="20"/>
        </w:rPr>
        <w:t>Podpora“</w:t>
      </w:r>
      <w:proofErr w:type="gramEnd"/>
      <w:r>
        <w:rPr>
          <w:sz w:val="20"/>
        </w:rPr>
        <w:t xml:space="preserve">) pro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9488107" w14:textId="77777777" w:rsidR="00116E4E" w:rsidRDefault="00000000">
      <w:pPr>
        <w:pStyle w:val="Odstavecseseznamem"/>
        <w:numPr>
          <w:ilvl w:val="0"/>
          <w:numId w:val="11"/>
        </w:numPr>
        <w:tabs>
          <w:tab w:val="left" w:pos="477"/>
        </w:tabs>
        <w:ind w:right="216" w:hanging="357"/>
        <w:jc w:val="both"/>
        <w:rPr>
          <w:sz w:val="20"/>
        </w:rPr>
      </w:pP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>.</w:t>
      </w:r>
    </w:p>
    <w:p w14:paraId="5D8AC1BB" w14:textId="77777777" w:rsidR="00116E4E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118"/>
        <w:ind w:right="215"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pozastavit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zjedná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nápravu</w:t>
      </w:r>
      <w:proofErr w:type="spellEnd"/>
      <w:r>
        <w:rPr>
          <w:sz w:val="20"/>
        </w:rPr>
        <w:t>.</w:t>
      </w:r>
    </w:p>
    <w:p w14:paraId="2F371B1F" w14:textId="77777777" w:rsidR="00116E4E" w:rsidRDefault="00000000">
      <w:pPr>
        <w:pStyle w:val="Odstavecseseznamem"/>
        <w:numPr>
          <w:ilvl w:val="0"/>
          <w:numId w:val="11"/>
        </w:numPr>
        <w:tabs>
          <w:tab w:val="left" w:pos="476"/>
        </w:tabs>
        <w:ind w:right="218"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pozastavení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70183539" w14:textId="77777777" w:rsidR="00116E4E" w:rsidRDefault="00116E4E">
      <w:pPr>
        <w:pStyle w:val="Zkladntext"/>
        <w:spacing w:before="3"/>
        <w:rPr>
          <w:sz w:val="30"/>
        </w:rPr>
      </w:pPr>
    </w:p>
    <w:p w14:paraId="6BBEB80D" w14:textId="77777777" w:rsidR="00116E4E" w:rsidRDefault="00000000">
      <w:pPr>
        <w:pStyle w:val="Zkladntext"/>
        <w:ind w:left="440" w:right="542"/>
        <w:jc w:val="center"/>
      </w:pPr>
      <w:proofErr w:type="spellStart"/>
      <w:r>
        <w:t>Čl</w:t>
      </w:r>
      <w:proofErr w:type="spellEnd"/>
      <w:r>
        <w:t>. V.</w:t>
      </w:r>
    </w:p>
    <w:p w14:paraId="0EA7BDBE" w14:textId="77777777" w:rsidR="00116E4E" w:rsidRDefault="00000000">
      <w:pPr>
        <w:pStyle w:val="Nadpis2"/>
        <w:ind w:left="441"/>
      </w:pP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5426CE9B" w14:textId="77777777" w:rsidR="00116E4E" w:rsidRDefault="00116E4E">
      <w:pPr>
        <w:pStyle w:val="Zkladntext"/>
        <w:spacing w:before="9"/>
        <w:rPr>
          <w:b/>
          <w:sz w:val="19"/>
        </w:rPr>
      </w:pPr>
    </w:p>
    <w:p w14:paraId="6FD0ED11" w14:textId="77777777" w:rsidR="00116E4E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"/>
        <w:ind w:right="102" w:hanging="359"/>
        <w:rPr>
          <w:sz w:val="20"/>
        </w:rPr>
      </w:pPr>
      <w:proofErr w:type="spellStart"/>
      <w:r>
        <w:rPr>
          <w:sz w:val="20"/>
        </w:rPr>
        <w:t>Uznanými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ust</w:t>
      </w:r>
      <w:proofErr w:type="spellEnd"/>
      <w:proofErr w:type="gramStart"/>
      <w:r>
        <w:rPr>
          <w:sz w:val="20"/>
        </w:rPr>
        <w:t xml:space="preserve">. </w:t>
      </w:r>
      <w:r>
        <w:rPr>
          <w:spacing w:val="15"/>
          <w:sz w:val="20"/>
        </w:rPr>
        <w:t xml:space="preserve"> </w:t>
      </w:r>
      <w:proofErr w:type="gramEnd"/>
      <w:r>
        <w:rPr>
          <w:sz w:val="20"/>
        </w:rPr>
        <w:t>§</w:t>
      </w:r>
    </w:p>
    <w:p w14:paraId="3D23A06F" w14:textId="77777777" w:rsidR="00116E4E" w:rsidRDefault="00000000">
      <w:pPr>
        <w:pStyle w:val="Zkladntext"/>
        <w:ind w:left="473"/>
      </w:pPr>
      <w:proofErr w:type="gramStart"/>
      <w:r>
        <w:t>2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m)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zdůvodněné</w:t>
      </w:r>
      <w:proofErr w:type="spellEnd"/>
      <w:r>
        <w:t>.</w:t>
      </w:r>
    </w:p>
    <w:p w14:paraId="1ACE9486" w14:textId="77777777" w:rsidR="00116E4E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19"/>
        <w:ind w:right="102" w:hanging="359"/>
        <w:rPr>
          <w:sz w:val="20"/>
        </w:rPr>
      </w:pPr>
      <w:proofErr w:type="spellStart"/>
      <w:r>
        <w:rPr>
          <w:sz w:val="20"/>
        </w:rPr>
        <w:t>Výše</w:t>
      </w:r>
      <w:proofErr w:type="spellEnd"/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pro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stanovena</w:t>
      </w:r>
      <w:proofErr w:type="spellEnd"/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Závazných</w:t>
      </w:r>
      <w:proofErr w:type="spellEnd"/>
    </w:p>
    <w:p w14:paraId="02249620" w14:textId="77777777" w:rsidR="00116E4E" w:rsidRDefault="00000000">
      <w:pPr>
        <w:pStyle w:val="Zkladntext"/>
        <w:ind w:left="473"/>
      </w:pPr>
      <w:proofErr w:type="spellStart"/>
      <w:r>
        <w:t>parametrech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509FFB01" w14:textId="77777777" w:rsidR="00116E4E" w:rsidRDefault="00000000">
      <w:pPr>
        <w:pStyle w:val="Odstavecseseznamem"/>
        <w:numPr>
          <w:ilvl w:val="0"/>
          <w:numId w:val="10"/>
        </w:numPr>
        <w:tabs>
          <w:tab w:val="left" w:pos="476"/>
        </w:tabs>
        <w:ind w:right="105" w:hanging="359"/>
        <w:rPr>
          <w:sz w:val="20"/>
        </w:rPr>
      </w:pPr>
      <w:r>
        <w:rPr>
          <w:sz w:val="20"/>
        </w:rPr>
        <w:t xml:space="preserve">O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oddělenou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se</w:t>
      </w:r>
    </w:p>
    <w:p w14:paraId="246D23BE" w14:textId="77777777" w:rsidR="00116E4E" w:rsidRDefault="00000000">
      <w:pPr>
        <w:pStyle w:val="Zkladntext"/>
        <w:ind w:left="473"/>
      </w:pPr>
      <w:proofErr w:type="spellStart"/>
      <w:r>
        <w:t>zákonem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0A00FA5B" w14:textId="77777777" w:rsidR="00116E4E" w:rsidRDefault="00116E4E">
      <w:pPr>
        <w:pStyle w:val="Zkladntext"/>
        <w:spacing w:before="3"/>
        <w:rPr>
          <w:sz w:val="30"/>
        </w:rPr>
      </w:pPr>
    </w:p>
    <w:p w14:paraId="62912FBA" w14:textId="77777777" w:rsidR="00116E4E" w:rsidRDefault="00000000">
      <w:pPr>
        <w:pStyle w:val="Zkladntext"/>
        <w:ind w:left="437" w:right="542"/>
        <w:jc w:val="center"/>
      </w:pPr>
      <w:proofErr w:type="spellStart"/>
      <w:r>
        <w:t>Čl</w:t>
      </w:r>
      <w:proofErr w:type="spellEnd"/>
      <w:r>
        <w:t>. VI.</w:t>
      </w:r>
    </w:p>
    <w:p w14:paraId="76E0D506" w14:textId="77777777" w:rsidR="00116E4E" w:rsidRDefault="00000000">
      <w:pPr>
        <w:pStyle w:val="Nadpis2"/>
        <w:ind w:left="439"/>
      </w:pPr>
      <w:proofErr w:type="spellStart"/>
      <w:r>
        <w:t>Zprávy</w:t>
      </w:r>
      <w:proofErr w:type="spellEnd"/>
      <w:r>
        <w:t xml:space="preserve"> o </w:t>
      </w:r>
      <w:proofErr w:type="spellStart"/>
      <w:r>
        <w:t>Projektu</w:t>
      </w:r>
      <w:proofErr w:type="spellEnd"/>
    </w:p>
    <w:p w14:paraId="2A593AF2" w14:textId="77777777" w:rsidR="00116E4E" w:rsidRDefault="00116E4E">
      <w:pPr>
        <w:pStyle w:val="Zkladntext"/>
        <w:spacing w:before="1"/>
        <w:rPr>
          <w:b/>
        </w:rPr>
      </w:pPr>
    </w:p>
    <w:p w14:paraId="3C3721D1" w14:textId="77777777" w:rsidR="00116E4E" w:rsidRDefault="00000000">
      <w:pPr>
        <w:pStyle w:val="Odstavecseseznamem"/>
        <w:numPr>
          <w:ilvl w:val="0"/>
          <w:numId w:val="9"/>
        </w:numPr>
        <w:tabs>
          <w:tab w:val="left" w:pos="476"/>
        </w:tabs>
        <w:spacing w:before="0"/>
        <w:ind w:right="220" w:hanging="357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ověření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pro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>:</w:t>
      </w:r>
    </w:p>
    <w:p w14:paraId="2A1928D7" w14:textId="77777777" w:rsidR="00116E4E" w:rsidRDefault="00000000">
      <w:pPr>
        <w:pStyle w:val="Odstavecseseznamem"/>
        <w:numPr>
          <w:ilvl w:val="1"/>
          <w:numId w:val="9"/>
        </w:numPr>
        <w:tabs>
          <w:tab w:val="left" w:pos="837"/>
        </w:tabs>
        <w:spacing w:before="117"/>
        <w:ind w:right="0"/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,</w:t>
      </w:r>
    </w:p>
    <w:p w14:paraId="224098BF" w14:textId="77777777" w:rsidR="00116E4E" w:rsidRDefault="00000000">
      <w:pPr>
        <w:pStyle w:val="Odstavecseseznamem"/>
        <w:numPr>
          <w:ilvl w:val="1"/>
          <w:numId w:val="9"/>
        </w:numPr>
        <w:tabs>
          <w:tab w:val="left" w:pos="837"/>
        </w:tabs>
        <w:spacing w:before="0"/>
        <w:ind w:right="0" w:hanging="360"/>
        <w:rPr>
          <w:sz w:val="20"/>
        </w:rPr>
      </w:pP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>,</w:t>
      </w:r>
    </w:p>
    <w:p w14:paraId="2330ACA8" w14:textId="77777777" w:rsidR="00116E4E" w:rsidRDefault="00000000">
      <w:pPr>
        <w:pStyle w:val="Odstavecseseznamem"/>
        <w:numPr>
          <w:ilvl w:val="1"/>
          <w:numId w:val="9"/>
        </w:numPr>
        <w:tabs>
          <w:tab w:val="left" w:pos="837"/>
        </w:tabs>
        <w:spacing w:before="0"/>
        <w:ind w:right="0" w:hanging="360"/>
        <w:rPr>
          <w:sz w:val="20"/>
        </w:rPr>
      </w:pP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>.</w:t>
      </w:r>
    </w:p>
    <w:p w14:paraId="1D5C77A2" w14:textId="77777777" w:rsidR="00116E4E" w:rsidRDefault="00116E4E">
      <w:pPr>
        <w:pStyle w:val="Zkladntext"/>
      </w:pPr>
    </w:p>
    <w:p w14:paraId="7F664A14" w14:textId="77777777" w:rsidR="00116E4E" w:rsidRDefault="00000000">
      <w:pPr>
        <w:pStyle w:val="Odstavecseseznamem"/>
        <w:numPr>
          <w:ilvl w:val="0"/>
          <w:numId w:val="9"/>
        </w:numPr>
        <w:tabs>
          <w:tab w:val="left" w:pos="477"/>
        </w:tabs>
        <w:spacing w:before="0"/>
        <w:ind w:right="215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za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odevzdání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dokumentu</w:t>
      </w:r>
      <w:proofErr w:type="spellEnd"/>
      <w:r>
        <w:rPr>
          <w:sz w:val="20"/>
        </w:rPr>
        <w:t xml:space="preserve">. Tato </w:t>
      </w:r>
      <w:proofErr w:type="spellStart"/>
      <w:r>
        <w:rPr>
          <w:sz w:val="20"/>
        </w:rPr>
        <w:t>lhůta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neplatí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, u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lhůta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odevzdání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respektovat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pokyny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struktury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zodpovídá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souhrnného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celý</w:t>
      </w:r>
      <w:proofErr w:type="spellEnd"/>
      <w:r>
        <w:rPr>
          <w:sz w:val="20"/>
        </w:rPr>
        <w:t xml:space="preserve"> Projekt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předložení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>.</w:t>
      </w:r>
    </w:p>
    <w:p w14:paraId="1234E55E" w14:textId="77777777" w:rsidR="00116E4E" w:rsidRDefault="00000000">
      <w:pPr>
        <w:pStyle w:val="Odstavecseseznamem"/>
        <w:numPr>
          <w:ilvl w:val="0"/>
          <w:numId w:val="9"/>
        </w:numPr>
        <w:tabs>
          <w:tab w:val="left" w:pos="476"/>
        </w:tabs>
        <w:spacing w:before="118"/>
        <w:ind w:left="475" w:right="106" w:hanging="362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předloží</w:t>
      </w:r>
      <w:proofErr w:type="spellEnd"/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který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je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pravidelně</w:t>
      </w:r>
      <w:proofErr w:type="spellEnd"/>
    </w:p>
    <w:p w14:paraId="1250039E" w14:textId="77777777" w:rsidR="00116E4E" w:rsidRDefault="00000000">
      <w:pPr>
        <w:pStyle w:val="Zkladntext"/>
        <w:ind w:left="455" w:right="542"/>
        <w:jc w:val="center"/>
      </w:pPr>
      <w:proofErr w:type="spellStart"/>
      <w:r>
        <w:t>aktualizovat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aktualizovanou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předkládat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>. 2.</w:t>
      </w:r>
    </w:p>
    <w:p w14:paraId="22A78E48" w14:textId="77777777" w:rsidR="00116E4E" w:rsidRDefault="00116E4E">
      <w:pPr>
        <w:jc w:val="center"/>
        <w:sectPr w:rsidR="00116E4E">
          <w:pgSz w:w="11910" w:h="16840"/>
          <w:pgMar w:top="1320" w:right="1200" w:bottom="920" w:left="1300" w:header="0" w:footer="726" w:gutter="0"/>
          <w:cols w:space="708"/>
        </w:sectPr>
      </w:pPr>
    </w:p>
    <w:p w14:paraId="110A1762" w14:textId="77777777" w:rsidR="00116E4E" w:rsidRDefault="00000000">
      <w:pPr>
        <w:pStyle w:val="Zkladntext"/>
        <w:spacing w:before="77"/>
        <w:ind w:left="440" w:right="542"/>
        <w:jc w:val="center"/>
      </w:pPr>
      <w:proofErr w:type="spellStart"/>
      <w:r>
        <w:lastRenderedPageBreak/>
        <w:t>Čl</w:t>
      </w:r>
      <w:proofErr w:type="spellEnd"/>
      <w:r>
        <w:t>. VII.</w:t>
      </w:r>
    </w:p>
    <w:p w14:paraId="4B2FB90F" w14:textId="77777777" w:rsidR="00116E4E" w:rsidRDefault="00000000">
      <w:pPr>
        <w:pStyle w:val="Nadpis2"/>
        <w:ind w:left="441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hmotnému</w:t>
      </w:r>
      <w:proofErr w:type="spellEnd"/>
      <w:r>
        <w:t xml:space="preserve"> </w:t>
      </w:r>
      <w:proofErr w:type="spellStart"/>
      <w:r>
        <w:t>majetku</w:t>
      </w:r>
      <w:proofErr w:type="spellEnd"/>
    </w:p>
    <w:p w14:paraId="00DB3F9B" w14:textId="77777777" w:rsidR="00116E4E" w:rsidRDefault="00116E4E">
      <w:pPr>
        <w:pStyle w:val="Zkladntext"/>
        <w:rPr>
          <w:b/>
        </w:rPr>
      </w:pPr>
    </w:p>
    <w:p w14:paraId="7623D7E6" w14:textId="77777777" w:rsidR="00116E4E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0"/>
        <w:ind w:right="215" w:hanging="357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infrastruktury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nutného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pořízeného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je ta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pořídila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>.</w:t>
      </w:r>
    </w:p>
    <w:p w14:paraId="581E9468" w14:textId="77777777" w:rsidR="00116E4E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19"/>
        <w:ind w:hanging="357"/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hmotným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disponovat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zcizit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převést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zatížit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pronajmout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půjčit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zapůjčit</w:t>
      </w:r>
      <w:proofErr w:type="spellEnd"/>
      <w:r>
        <w:rPr>
          <w:sz w:val="20"/>
        </w:rPr>
        <w:t>.</w:t>
      </w:r>
    </w:p>
    <w:p w14:paraId="283036EB" w14:textId="77777777" w:rsidR="00116E4E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17"/>
        <w:ind w:right="219" w:hanging="357"/>
        <w:jc w:val="both"/>
        <w:rPr>
          <w:sz w:val="20"/>
        </w:rPr>
      </w:pP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>.</w:t>
      </w:r>
    </w:p>
    <w:p w14:paraId="5CB7A6BE" w14:textId="77777777" w:rsidR="00116E4E" w:rsidRDefault="00116E4E">
      <w:pPr>
        <w:pStyle w:val="Zkladntext"/>
        <w:rPr>
          <w:sz w:val="22"/>
        </w:rPr>
      </w:pPr>
    </w:p>
    <w:p w14:paraId="0C84AAE8" w14:textId="77777777" w:rsidR="00116E4E" w:rsidRDefault="00116E4E">
      <w:pPr>
        <w:pStyle w:val="Zkladntext"/>
        <w:spacing w:before="6"/>
        <w:rPr>
          <w:sz w:val="28"/>
        </w:rPr>
      </w:pPr>
    </w:p>
    <w:p w14:paraId="589D3EA0" w14:textId="77777777" w:rsidR="00116E4E" w:rsidRDefault="00000000">
      <w:pPr>
        <w:pStyle w:val="Zkladntext"/>
        <w:spacing w:line="229" w:lineRule="exact"/>
        <w:ind w:left="437" w:right="542"/>
        <w:jc w:val="center"/>
      </w:pPr>
      <w:proofErr w:type="spellStart"/>
      <w:r>
        <w:t>Čl</w:t>
      </w:r>
      <w:proofErr w:type="spellEnd"/>
      <w:r>
        <w:t>. VIII.</w:t>
      </w:r>
    </w:p>
    <w:p w14:paraId="237870BF" w14:textId="77777777" w:rsidR="00116E4E" w:rsidRDefault="00000000">
      <w:pPr>
        <w:pStyle w:val="Nadpis2"/>
        <w:spacing w:line="229" w:lineRule="exact"/>
        <w:ind w:left="440"/>
      </w:pPr>
      <w:proofErr w:type="spellStart"/>
      <w:r>
        <w:t>Vnesená</w:t>
      </w:r>
      <w:proofErr w:type="spellEnd"/>
      <w:r>
        <w:t xml:space="preserve"> </w:t>
      </w:r>
      <w:proofErr w:type="spellStart"/>
      <w:r>
        <w:t>práva</w:t>
      </w:r>
      <w:proofErr w:type="spellEnd"/>
    </w:p>
    <w:p w14:paraId="5E8A0316" w14:textId="77777777" w:rsidR="00116E4E" w:rsidRDefault="00116E4E">
      <w:pPr>
        <w:pStyle w:val="Zkladntext"/>
        <w:spacing w:before="1"/>
        <w:rPr>
          <w:b/>
        </w:rPr>
      </w:pPr>
    </w:p>
    <w:p w14:paraId="6FA54991" w14:textId="77777777" w:rsidR="00116E4E" w:rsidRDefault="00000000">
      <w:pPr>
        <w:pStyle w:val="Odstavecseseznamem"/>
        <w:numPr>
          <w:ilvl w:val="0"/>
          <w:numId w:val="7"/>
        </w:numPr>
        <w:tabs>
          <w:tab w:val="left" w:pos="541"/>
        </w:tabs>
        <w:spacing w:before="0"/>
        <w:ind w:right="216" w:hanging="424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považována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autorská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know-how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.),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získají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nezbytná</w:t>
      </w:r>
      <w:proofErr w:type="spellEnd"/>
      <w:r>
        <w:rPr>
          <w:sz w:val="20"/>
        </w:rPr>
        <w:t>.</w:t>
      </w:r>
    </w:p>
    <w:p w14:paraId="33043311" w14:textId="77777777" w:rsidR="00116E4E" w:rsidRDefault="00000000">
      <w:pPr>
        <w:pStyle w:val="Odstavecseseznamem"/>
        <w:numPr>
          <w:ilvl w:val="0"/>
          <w:numId w:val="7"/>
        </w:numPr>
        <w:tabs>
          <w:tab w:val="left" w:pos="541"/>
        </w:tabs>
        <w:spacing w:before="118"/>
        <w:jc w:val="both"/>
        <w:rPr>
          <w:sz w:val="20"/>
        </w:rPr>
      </w:pP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potřeby</w:t>
      </w:r>
      <w:proofErr w:type="spellEnd"/>
      <w:r>
        <w:rPr>
          <w:sz w:val="20"/>
        </w:rPr>
        <w:t xml:space="preserve"> a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K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uzavřené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běžných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>.</w:t>
      </w:r>
    </w:p>
    <w:p w14:paraId="4327E286" w14:textId="77777777" w:rsidR="00116E4E" w:rsidRDefault="00000000">
      <w:pPr>
        <w:pStyle w:val="Odstavecseseznamem"/>
        <w:numPr>
          <w:ilvl w:val="0"/>
          <w:numId w:val="7"/>
        </w:numPr>
        <w:tabs>
          <w:tab w:val="left" w:pos="540"/>
          <w:tab w:val="left" w:pos="541"/>
        </w:tabs>
        <w:ind w:right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třetím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>.</w:t>
      </w:r>
    </w:p>
    <w:p w14:paraId="6C2A163A" w14:textId="77777777" w:rsidR="00116E4E" w:rsidRDefault="00116E4E">
      <w:pPr>
        <w:pStyle w:val="Zkladntext"/>
        <w:rPr>
          <w:sz w:val="22"/>
        </w:rPr>
      </w:pPr>
    </w:p>
    <w:p w14:paraId="25A3B053" w14:textId="77777777" w:rsidR="00116E4E" w:rsidRDefault="00116E4E">
      <w:pPr>
        <w:pStyle w:val="Zkladntext"/>
        <w:spacing w:before="3"/>
        <w:rPr>
          <w:sz w:val="28"/>
        </w:rPr>
      </w:pPr>
    </w:p>
    <w:p w14:paraId="13B0205E" w14:textId="77777777" w:rsidR="00116E4E" w:rsidRDefault="00000000">
      <w:pPr>
        <w:pStyle w:val="Zkladntext"/>
        <w:ind w:left="441" w:right="542"/>
        <w:jc w:val="center"/>
      </w:pPr>
      <w:proofErr w:type="spellStart"/>
      <w:r>
        <w:t>Čl</w:t>
      </w:r>
      <w:proofErr w:type="spellEnd"/>
      <w:r>
        <w:t>. IX.</w:t>
      </w:r>
    </w:p>
    <w:p w14:paraId="66D6832C" w14:textId="77777777" w:rsidR="00116E4E" w:rsidRDefault="00000000">
      <w:pPr>
        <w:pStyle w:val="Nadpis2"/>
        <w:ind w:left="438"/>
      </w:pP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4E7324B2" w14:textId="77777777" w:rsidR="00116E4E" w:rsidRDefault="00116E4E">
      <w:pPr>
        <w:pStyle w:val="Zkladntext"/>
        <w:spacing w:before="1"/>
        <w:rPr>
          <w:b/>
        </w:rPr>
      </w:pPr>
    </w:p>
    <w:p w14:paraId="3253A837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0"/>
        <w:ind w:hanging="357"/>
        <w:jc w:val="both"/>
        <w:rPr>
          <w:sz w:val="20"/>
        </w:rPr>
      </w:pP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k)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vzniklý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38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projektu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).</w:t>
      </w:r>
    </w:p>
    <w:p w14:paraId="4E6920DE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right="216" w:hanging="357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vytvoření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jakém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     z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příspěvků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nedohodly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spoluvlastnický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Výsledku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stejný</w:t>
      </w:r>
      <w:proofErr w:type="spellEnd"/>
      <w:proofErr w:type="gramStart"/>
      <w:r>
        <w:rPr>
          <w:sz w:val="20"/>
        </w:rPr>
        <w:t xml:space="preserve">. 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stanovení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spoluvlastnického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podílu</w:t>
      </w:r>
      <w:proofErr w:type="spellEnd"/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se  </w:t>
      </w:r>
      <w:proofErr w:type="spellStart"/>
      <w:r>
        <w:rPr>
          <w:sz w:val="20"/>
        </w:rPr>
        <w:t>dále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úměrně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přihlíží</w:t>
      </w:r>
      <w:proofErr w:type="spellEnd"/>
      <w:proofErr w:type="gramEnd"/>
      <w:r>
        <w:rPr>
          <w:sz w:val="20"/>
        </w:rPr>
        <w:t xml:space="preserve"> k </w:t>
      </w:r>
      <w:proofErr w:type="spellStart"/>
      <w:proofErr w:type="gramStart"/>
      <w:r>
        <w:rPr>
          <w:sz w:val="20"/>
        </w:rPr>
        <w:t>poměru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nákladů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jednotlivých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Smluvních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stran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tak</w:t>
      </w:r>
      <w:proofErr w:type="spellEnd"/>
      <w:r>
        <w:rPr>
          <w:sz w:val="20"/>
        </w:rPr>
        <w:t>,  aby</w:t>
      </w:r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nedocházelo</w:t>
      </w:r>
      <w:proofErr w:type="spellEnd"/>
      <w:r>
        <w:rPr>
          <w:sz w:val="20"/>
        </w:rPr>
        <w:t xml:space="preserve">      k </w:t>
      </w:r>
      <w:proofErr w:type="spellStart"/>
      <w:r>
        <w:rPr>
          <w:sz w:val="20"/>
        </w:rPr>
        <w:t>zakázané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podpoře</w:t>
      </w:r>
      <w:proofErr w:type="spellEnd"/>
      <w:r>
        <w:rPr>
          <w:sz w:val="20"/>
        </w:rPr>
        <w:t>.</w:t>
      </w:r>
    </w:p>
    <w:p w14:paraId="321ECB27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5"/>
        </w:tabs>
        <w:ind w:right="216" w:hanging="358"/>
        <w:jc w:val="both"/>
        <w:rPr>
          <w:color w:val="00000A"/>
          <w:sz w:val="20"/>
        </w:rPr>
      </w:pPr>
      <w:proofErr w:type="spellStart"/>
      <w:r>
        <w:rPr>
          <w:color w:val="00000A"/>
          <w:sz w:val="20"/>
        </w:rPr>
        <w:t>Výsledek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který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patří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pouze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jedné</w:t>
      </w:r>
      <w:proofErr w:type="spellEnd"/>
      <w:r>
        <w:rPr>
          <w:color w:val="00000A"/>
          <w:sz w:val="20"/>
        </w:rPr>
        <w:t xml:space="preserve"> ze </w:t>
      </w:r>
      <w:proofErr w:type="spellStart"/>
      <w:r>
        <w:rPr>
          <w:color w:val="00000A"/>
          <w:sz w:val="20"/>
        </w:rPr>
        <w:t>Smluvních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může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tato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užívat</w:t>
      </w:r>
      <w:proofErr w:type="spellEnd"/>
      <w:r>
        <w:rPr>
          <w:color w:val="00000A"/>
          <w:sz w:val="20"/>
        </w:rPr>
        <w:t xml:space="preserve"> bez </w:t>
      </w:r>
      <w:proofErr w:type="spellStart"/>
      <w:r>
        <w:rPr>
          <w:color w:val="00000A"/>
          <w:sz w:val="20"/>
        </w:rPr>
        <w:t>omezení</w:t>
      </w:r>
      <w:proofErr w:type="spellEnd"/>
      <w:r>
        <w:rPr>
          <w:color w:val="00000A"/>
          <w:sz w:val="20"/>
        </w:rPr>
        <w:t xml:space="preserve">. </w:t>
      </w:r>
      <w:proofErr w:type="spellStart"/>
      <w:r>
        <w:rPr>
          <w:color w:val="00000A"/>
          <w:sz w:val="20"/>
        </w:rPr>
        <w:t>Výsledek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který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mají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spoluvlastnictví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může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každý</w:t>
      </w:r>
      <w:proofErr w:type="spellEnd"/>
      <w:r>
        <w:rPr>
          <w:color w:val="00000A"/>
          <w:sz w:val="20"/>
        </w:rPr>
        <w:t xml:space="preserve"> ze </w:t>
      </w:r>
      <w:proofErr w:type="spellStart"/>
      <w:r>
        <w:rPr>
          <w:color w:val="00000A"/>
          <w:sz w:val="20"/>
        </w:rPr>
        <w:t>spoluvlastníků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užívat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nekomerčně</w:t>
      </w:r>
      <w:proofErr w:type="spellEnd"/>
      <w:r>
        <w:rPr>
          <w:color w:val="00000A"/>
          <w:sz w:val="20"/>
        </w:rPr>
        <w:t xml:space="preserve"> bez </w:t>
      </w:r>
      <w:proofErr w:type="spellStart"/>
      <w:r>
        <w:rPr>
          <w:color w:val="00000A"/>
          <w:sz w:val="20"/>
        </w:rPr>
        <w:t>omezení</w:t>
      </w:r>
      <w:proofErr w:type="spellEnd"/>
      <w:r>
        <w:rPr>
          <w:color w:val="00000A"/>
          <w:sz w:val="20"/>
        </w:rPr>
        <w:t xml:space="preserve"> a </w:t>
      </w:r>
      <w:proofErr w:type="spellStart"/>
      <w:r>
        <w:rPr>
          <w:color w:val="00000A"/>
          <w:sz w:val="20"/>
        </w:rPr>
        <w:t>komerčně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pouze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poté</w:t>
      </w:r>
      <w:proofErr w:type="spellEnd"/>
      <w:r>
        <w:rPr>
          <w:color w:val="00000A"/>
          <w:sz w:val="20"/>
        </w:rPr>
        <w:t xml:space="preserve">, co </w:t>
      </w:r>
      <w:proofErr w:type="spellStart"/>
      <w:r>
        <w:rPr>
          <w:color w:val="00000A"/>
          <w:sz w:val="20"/>
        </w:rPr>
        <w:t>budou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předem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písemně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dohodnuty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podmínky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takového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užití</w:t>
      </w:r>
      <w:proofErr w:type="spellEnd"/>
      <w:r>
        <w:rPr>
          <w:color w:val="00000A"/>
          <w:sz w:val="20"/>
        </w:rPr>
        <w:t xml:space="preserve">. </w:t>
      </w:r>
      <w:proofErr w:type="spellStart"/>
      <w:r>
        <w:rPr>
          <w:color w:val="00000A"/>
          <w:sz w:val="20"/>
        </w:rPr>
        <w:t>Komerčním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užitím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se </w:t>
      </w:r>
      <w:proofErr w:type="spellStart"/>
      <w:r>
        <w:rPr>
          <w:color w:val="00000A"/>
          <w:sz w:val="20"/>
        </w:rPr>
        <w:t>rozumí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užití</w:t>
      </w:r>
      <w:proofErr w:type="spellEnd"/>
      <w:r>
        <w:rPr>
          <w:color w:val="00000A"/>
          <w:sz w:val="20"/>
        </w:rPr>
        <w:t xml:space="preserve"> v </w:t>
      </w:r>
      <w:proofErr w:type="spellStart"/>
      <w:r>
        <w:rPr>
          <w:color w:val="00000A"/>
          <w:sz w:val="20"/>
        </w:rPr>
        <w:t>rámci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stávajícího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či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nového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výrobku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technologie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či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služby</w:t>
      </w:r>
      <w:proofErr w:type="spellEnd"/>
      <w:r>
        <w:rPr>
          <w:color w:val="00000A"/>
          <w:sz w:val="20"/>
        </w:rPr>
        <w:t xml:space="preserve"> a </w:t>
      </w:r>
      <w:proofErr w:type="spellStart"/>
      <w:r>
        <w:rPr>
          <w:color w:val="00000A"/>
          <w:sz w:val="20"/>
        </w:rPr>
        <w:t>jejich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uplatnění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trhu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nebo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použití</w:t>
      </w:r>
      <w:proofErr w:type="spellEnd"/>
      <w:r>
        <w:rPr>
          <w:color w:val="00000A"/>
          <w:sz w:val="20"/>
        </w:rPr>
        <w:t xml:space="preserve"> pro </w:t>
      </w:r>
      <w:proofErr w:type="spellStart"/>
      <w:r>
        <w:rPr>
          <w:color w:val="00000A"/>
          <w:sz w:val="20"/>
        </w:rPr>
        <w:t>koncepci</w:t>
      </w:r>
      <w:proofErr w:type="spellEnd"/>
      <w:r>
        <w:rPr>
          <w:color w:val="00000A"/>
          <w:sz w:val="20"/>
        </w:rPr>
        <w:t xml:space="preserve"> a </w:t>
      </w:r>
      <w:proofErr w:type="spellStart"/>
      <w:r>
        <w:rPr>
          <w:color w:val="00000A"/>
          <w:sz w:val="20"/>
        </w:rPr>
        <w:t>poskytování</w:t>
      </w:r>
      <w:proofErr w:type="spellEnd"/>
      <w:r>
        <w:rPr>
          <w:color w:val="00000A"/>
          <w:spacing w:val="-19"/>
          <w:sz w:val="20"/>
        </w:rPr>
        <w:t xml:space="preserve"> </w:t>
      </w:r>
      <w:proofErr w:type="spellStart"/>
      <w:r>
        <w:rPr>
          <w:color w:val="00000A"/>
          <w:sz w:val="20"/>
        </w:rPr>
        <w:t>služby</w:t>
      </w:r>
      <w:proofErr w:type="spellEnd"/>
      <w:r>
        <w:rPr>
          <w:color w:val="00000A"/>
          <w:sz w:val="20"/>
        </w:rPr>
        <w:t>.</w:t>
      </w:r>
    </w:p>
    <w:p w14:paraId="62645D39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5"/>
        </w:tabs>
        <w:ind w:right="216" w:hanging="358"/>
        <w:jc w:val="both"/>
        <w:rPr>
          <w:color w:val="00000A"/>
          <w:sz w:val="20"/>
        </w:rPr>
      </w:pPr>
      <w:proofErr w:type="spellStart"/>
      <w:r>
        <w:rPr>
          <w:color w:val="00000A"/>
          <w:sz w:val="20"/>
        </w:rPr>
        <w:t>Poskytnutí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spoluvlastnictví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třetím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osobám</w:t>
      </w:r>
      <w:proofErr w:type="spellEnd"/>
      <w:r>
        <w:rPr>
          <w:color w:val="00000A"/>
          <w:sz w:val="20"/>
        </w:rPr>
        <w:t xml:space="preserve"> je </w:t>
      </w:r>
      <w:proofErr w:type="spellStart"/>
      <w:r>
        <w:rPr>
          <w:color w:val="00000A"/>
          <w:sz w:val="20"/>
        </w:rPr>
        <w:t>možné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pouze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základě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písemné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dohody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uzavřené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všemi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spoluvlastníky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předmětného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. </w:t>
      </w:r>
      <w:proofErr w:type="spellStart"/>
      <w:r>
        <w:rPr>
          <w:color w:val="00000A"/>
          <w:sz w:val="20"/>
        </w:rPr>
        <w:t>Spoluvlastník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může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převést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svůj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podíl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třetí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osobu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jen</w:t>
      </w:r>
      <w:proofErr w:type="spellEnd"/>
      <w:r>
        <w:rPr>
          <w:color w:val="00000A"/>
          <w:sz w:val="20"/>
        </w:rPr>
        <w:t xml:space="preserve"> v </w:t>
      </w:r>
      <w:proofErr w:type="spellStart"/>
      <w:r>
        <w:rPr>
          <w:color w:val="00000A"/>
          <w:sz w:val="20"/>
        </w:rPr>
        <w:t>případě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žádný</w:t>
      </w:r>
      <w:proofErr w:type="spellEnd"/>
      <w:r>
        <w:rPr>
          <w:color w:val="00000A"/>
          <w:sz w:val="20"/>
        </w:rPr>
        <w:t xml:space="preserve"> z </w:t>
      </w:r>
      <w:proofErr w:type="spellStart"/>
      <w:r>
        <w:rPr>
          <w:color w:val="00000A"/>
          <w:sz w:val="20"/>
        </w:rPr>
        <w:t>ostatních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spoluvlastníků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nepřijme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lhůtě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jednoho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měsíce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písemnou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nabídku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převodu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učiněnou</w:t>
      </w:r>
      <w:proofErr w:type="spellEnd"/>
      <w:r>
        <w:rPr>
          <w:color w:val="00000A"/>
          <w:sz w:val="20"/>
        </w:rPr>
        <w:t xml:space="preserve"> za </w:t>
      </w:r>
      <w:proofErr w:type="spellStart"/>
      <w:r>
        <w:rPr>
          <w:color w:val="00000A"/>
          <w:sz w:val="20"/>
        </w:rPr>
        <w:t>stejných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podmínek</w:t>
      </w:r>
      <w:proofErr w:type="spellEnd"/>
      <w:r>
        <w:rPr>
          <w:color w:val="00000A"/>
          <w:sz w:val="20"/>
        </w:rPr>
        <w:t xml:space="preserve">, za </w:t>
      </w:r>
      <w:proofErr w:type="spellStart"/>
      <w:r>
        <w:rPr>
          <w:color w:val="00000A"/>
          <w:sz w:val="20"/>
        </w:rPr>
        <w:t>jakých</w:t>
      </w:r>
      <w:proofErr w:type="spellEnd"/>
      <w:r>
        <w:rPr>
          <w:color w:val="00000A"/>
          <w:sz w:val="20"/>
        </w:rPr>
        <w:t xml:space="preserve"> je </w:t>
      </w:r>
      <w:proofErr w:type="spellStart"/>
      <w:r>
        <w:rPr>
          <w:color w:val="00000A"/>
          <w:sz w:val="20"/>
        </w:rPr>
        <w:t>podíl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nabízen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třetí</w:t>
      </w:r>
      <w:proofErr w:type="spellEnd"/>
      <w:r>
        <w:rPr>
          <w:color w:val="00000A"/>
          <w:spacing w:val="-30"/>
          <w:sz w:val="20"/>
        </w:rPr>
        <w:t xml:space="preserve"> </w:t>
      </w:r>
      <w:proofErr w:type="spellStart"/>
      <w:r>
        <w:rPr>
          <w:color w:val="00000A"/>
          <w:sz w:val="20"/>
        </w:rPr>
        <w:t>osobě</w:t>
      </w:r>
      <w:proofErr w:type="spellEnd"/>
      <w:r>
        <w:rPr>
          <w:color w:val="00000A"/>
          <w:sz w:val="20"/>
        </w:rPr>
        <w:t>.</w:t>
      </w:r>
    </w:p>
    <w:p w14:paraId="3F594D8A" w14:textId="77777777" w:rsidR="00116E4E" w:rsidRDefault="00116E4E">
      <w:pPr>
        <w:jc w:val="both"/>
        <w:rPr>
          <w:sz w:val="20"/>
        </w:rPr>
        <w:sectPr w:rsidR="00116E4E">
          <w:pgSz w:w="11910" w:h="16840"/>
          <w:pgMar w:top="1320" w:right="1200" w:bottom="920" w:left="1300" w:header="0" w:footer="726" w:gutter="0"/>
          <w:cols w:space="708"/>
        </w:sectPr>
      </w:pPr>
    </w:p>
    <w:p w14:paraId="60008E4F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77"/>
        <w:ind w:left="475" w:right="100" w:hanging="359"/>
        <w:rPr>
          <w:sz w:val="20"/>
        </w:rPr>
      </w:pPr>
      <w:proofErr w:type="spellStart"/>
      <w:proofErr w:type="gramStart"/>
      <w:r>
        <w:rPr>
          <w:color w:val="00000A"/>
          <w:sz w:val="20"/>
        </w:rPr>
        <w:lastRenderedPageBreak/>
        <w:t>Výsledky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projektu</w:t>
      </w:r>
      <w:proofErr w:type="spellEnd"/>
      <w:proofErr w:type="gramEnd"/>
      <w:r>
        <w:rPr>
          <w:color w:val="00000A"/>
          <w:sz w:val="20"/>
        </w:rPr>
        <w:t xml:space="preserve">  </w:t>
      </w:r>
      <w:proofErr w:type="spellStart"/>
      <w:proofErr w:type="gram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výhradním</w:t>
      </w:r>
      <w:proofErr w:type="spellEnd"/>
      <w:proofErr w:type="gramEnd"/>
      <w:r>
        <w:rPr>
          <w:color w:val="00000A"/>
          <w:sz w:val="20"/>
        </w:rPr>
        <w:t xml:space="preserve">  </w:t>
      </w:r>
      <w:proofErr w:type="spellStart"/>
      <w:proofErr w:type="gramStart"/>
      <w:r>
        <w:rPr>
          <w:color w:val="00000A"/>
          <w:sz w:val="20"/>
        </w:rPr>
        <w:t>vlastnictví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jiné</w:t>
      </w:r>
      <w:proofErr w:type="spellEnd"/>
      <w:proofErr w:type="gramEnd"/>
      <w:r>
        <w:rPr>
          <w:color w:val="00000A"/>
          <w:sz w:val="20"/>
        </w:rPr>
        <w:t xml:space="preserve">  </w:t>
      </w:r>
      <w:proofErr w:type="spellStart"/>
      <w:proofErr w:type="gram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strany</w:t>
      </w:r>
      <w:proofErr w:type="spellEnd"/>
      <w:proofErr w:type="gramEnd"/>
      <w:r>
        <w:rPr>
          <w:color w:val="00000A"/>
          <w:sz w:val="20"/>
        </w:rPr>
        <w:t xml:space="preserve">  </w:t>
      </w:r>
      <w:proofErr w:type="spellStart"/>
      <w:proofErr w:type="gramStart"/>
      <w:r>
        <w:rPr>
          <w:color w:val="00000A"/>
          <w:sz w:val="20"/>
        </w:rPr>
        <w:t>mohou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Smluvní</w:t>
      </w:r>
      <w:proofErr w:type="spellEnd"/>
      <w:proofErr w:type="gram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strany</w:t>
      </w:r>
      <w:proofErr w:type="spellEnd"/>
      <w:r>
        <w:rPr>
          <w:color w:val="00000A"/>
          <w:spacing w:val="-15"/>
          <w:sz w:val="20"/>
        </w:rPr>
        <w:t xml:space="preserve"> </w:t>
      </w:r>
      <w:proofErr w:type="spellStart"/>
      <w:r>
        <w:rPr>
          <w:color w:val="00000A"/>
          <w:sz w:val="20"/>
        </w:rPr>
        <w:t>užívat</w:t>
      </w:r>
      <w:proofErr w:type="spellEnd"/>
    </w:p>
    <w:p w14:paraId="10604B1D" w14:textId="77777777" w:rsidR="00116E4E" w:rsidRDefault="00000000">
      <w:pPr>
        <w:pStyle w:val="Zkladntext"/>
        <w:ind w:left="473"/>
      </w:pPr>
      <w:proofErr w:type="spellStart"/>
      <w:r>
        <w:rPr>
          <w:color w:val="00000A"/>
        </w:rPr>
        <w:t>bezplatně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výhradně</w:t>
      </w:r>
      <w:proofErr w:type="spellEnd"/>
      <w:r>
        <w:rPr>
          <w:color w:val="00000A"/>
        </w:rPr>
        <w:t xml:space="preserve"> pro </w:t>
      </w:r>
      <w:proofErr w:type="spellStart"/>
      <w:r>
        <w:rPr>
          <w:color w:val="00000A"/>
        </w:rPr>
        <w:t>potřeby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řešení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Projektu</w:t>
      </w:r>
      <w:proofErr w:type="spellEnd"/>
      <w:r>
        <w:rPr>
          <w:color w:val="00000A"/>
        </w:rPr>
        <w:t xml:space="preserve"> a po </w:t>
      </w:r>
      <w:proofErr w:type="spellStart"/>
      <w:r>
        <w:rPr>
          <w:color w:val="00000A"/>
        </w:rPr>
        <w:t>dobu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řešení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projektu</w:t>
      </w:r>
      <w:proofErr w:type="spellEnd"/>
      <w:r>
        <w:rPr>
          <w:color w:val="00000A"/>
        </w:rPr>
        <w:t>.</w:t>
      </w:r>
    </w:p>
    <w:p w14:paraId="592E45EA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left="473" w:right="216" w:hanging="358"/>
        <w:jc w:val="both"/>
        <w:rPr>
          <w:color w:val="00000A"/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tržních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vneseným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právům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potřebují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protože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nemožné</w:t>
      </w:r>
      <w:proofErr w:type="spellEnd"/>
      <w:r>
        <w:rPr>
          <w:sz w:val="20"/>
        </w:rPr>
        <w:t xml:space="preserve">. O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požádat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skončení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F3D0C8E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18"/>
        <w:ind w:right="216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adekvátní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nápomocny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podání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přihlášek</w:t>
      </w:r>
      <w:proofErr w:type="spellEnd"/>
      <w:r>
        <w:rPr>
          <w:sz w:val="20"/>
        </w:rPr>
        <w:t>,  a</w:t>
      </w:r>
      <w:proofErr w:type="gramEnd"/>
      <w:r>
        <w:rPr>
          <w:sz w:val="20"/>
        </w:rPr>
        <w:t xml:space="preserve">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zahraničních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v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vedením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441788AA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5"/>
        </w:tabs>
        <w:spacing w:before="118"/>
        <w:ind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14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Ve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aplikačnímu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aplikován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 xml:space="preserve">, a to za </w:t>
      </w:r>
      <w:proofErr w:type="spellStart"/>
      <w:r>
        <w:rPr>
          <w:sz w:val="20"/>
        </w:rPr>
        <w:t>obvyklou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. Je-li </w:t>
      </w:r>
      <w:proofErr w:type="spellStart"/>
      <w:r>
        <w:rPr>
          <w:sz w:val="20"/>
        </w:rPr>
        <w:t>aplikační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složkou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celkem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nevýdělečné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lze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odůvodněných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nižší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či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bezúplatně</w:t>
      </w:r>
      <w:proofErr w:type="spellEnd"/>
      <w:r>
        <w:rPr>
          <w:sz w:val="20"/>
        </w:rPr>
        <w:t>.</w:t>
      </w:r>
    </w:p>
    <w:p w14:paraId="55E2BCDF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5"/>
        </w:tabs>
        <w:ind w:right="218" w:hanging="357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76748C0D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5"/>
        </w:tabs>
        <w:ind w:right="215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výstupů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NmetA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NmetC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NmetS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strojově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čitelnou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textu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výzkumných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repozitáře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otevřený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textu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souvisejícím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datům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vhodné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repozitáři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publikováním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otevřeném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otevřený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do 6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(12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sociálních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humanitních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</w:t>
      </w:r>
      <w:proofErr w:type="spellEnd"/>
      <w:r>
        <w:rPr>
          <w:sz w:val="20"/>
        </w:rPr>
        <w:t xml:space="preserve">) od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konce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souvisejícím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bibliografickým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metadatům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dlouhodobý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bezplatný</w:t>
      </w:r>
      <w:proofErr w:type="spellEnd"/>
      <w:r>
        <w:rPr>
          <w:sz w:val="20"/>
        </w:rPr>
        <w:t xml:space="preserve"> on-line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uživatele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opatřit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perzistentním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identifikátorem</w:t>
      </w:r>
      <w:proofErr w:type="spellEnd"/>
      <w:r>
        <w:rPr>
          <w:sz w:val="20"/>
        </w:rPr>
        <w:t>.</w:t>
      </w:r>
    </w:p>
    <w:p w14:paraId="702DD524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18"/>
        <w:ind w:right="218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výzkumná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nepřiměřenému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zásahu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soukromí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bezpečnosti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>).</w:t>
      </w:r>
    </w:p>
    <w:p w14:paraId="2956C130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18"/>
        <w:ind w:left="475" w:right="105"/>
        <w:rPr>
          <w:sz w:val="20"/>
        </w:rPr>
      </w:pPr>
      <w:proofErr w:type="spellStart"/>
      <w:r>
        <w:rPr>
          <w:sz w:val="20"/>
        </w:rPr>
        <w:t>Nezveřejnění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omezení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přístupu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odůvodněním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příslušná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uvede</w:t>
      </w:r>
      <w:proofErr w:type="spellEnd"/>
    </w:p>
    <w:p w14:paraId="003E12B4" w14:textId="77777777" w:rsidR="00116E4E" w:rsidRDefault="00000000">
      <w:pPr>
        <w:pStyle w:val="Zkladntext"/>
        <w:ind w:left="472"/>
      </w:pPr>
      <w:r>
        <w:t xml:space="preserve">v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dat.</w:t>
      </w:r>
    </w:p>
    <w:p w14:paraId="686022B5" w14:textId="77777777" w:rsidR="00116E4E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left="473" w:right="219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ručí</w:t>
      </w:r>
      <w:proofErr w:type="spellEnd"/>
      <w:r>
        <w:rPr>
          <w:sz w:val="20"/>
        </w:rPr>
        <w:t xml:space="preserve"> za to,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nezasahují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předmětům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a to pro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v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zahraničí</w:t>
      </w:r>
      <w:proofErr w:type="spellEnd"/>
      <w:r>
        <w:rPr>
          <w:sz w:val="20"/>
        </w:rPr>
        <w:t>.</w:t>
      </w:r>
    </w:p>
    <w:p w14:paraId="4B20771C" w14:textId="77777777" w:rsidR="00116E4E" w:rsidRDefault="00116E4E">
      <w:pPr>
        <w:pStyle w:val="Zkladntext"/>
        <w:spacing w:before="3"/>
        <w:rPr>
          <w:sz w:val="30"/>
        </w:rPr>
      </w:pPr>
    </w:p>
    <w:p w14:paraId="378650FA" w14:textId="77777777" w:rsidR="00116E4E" w:rsidRDefault="00000000">
      <w:pPr>
        <w:pStyle w:val="Zkladntext"/>
        <w:ind w:left="439" w:right="542"/>
        <w:jc w:val="center"/>
      </w:pPr>
      <w:proofErr w:type="spellStart"/>
      <w:r>
        <w:t>Čl</w:t>
      </w:r>
      <w:proofErr w:type="spellEnd"/>
      <w:r>
        <w:t>. X.</w:t>
      </w:r>
    </w:p>
    <w:p w14:paraId="36DD5E90" w14:textId="77777777" w:rsidR="00116E4E" w:rsidRDefault="00000000">
      <w:pPr>
        <w:pStyle w:val="Nadpis2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</w:p>
    <w:p w14:paraId="658188AF" w14:textId="77777777" w:rsidR="00116E4E" w:rsidRDefault="00116E4E">
      <w:pPr>
        <w:pStyle w:val="Zkladntext"/>
        <w:spacing w:before="1"/>
        <w:rPr>
          <w:b/>
        </w:rPr>
      </w:pPr>
    </w:p>
    <w:p w14:paraId="3565A1A1" w14:textId="77777777" w:rsidR="00116E4E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0"/>
        <w:ind w:right="220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předepsané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úplné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pravdivé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včasné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získaných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6F6613A" w14:textId="77777777" w:rsidR="00116E4E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18"/>
        <w:ind w:hanging="358"/>
        <w:jc w:val="both"/>
        <w:rPr>
          <w:sz w:val="20"/>
        </w:rPr>
      </w:pP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ani </w:t>
      </w:r>
      <w:proofErr w:type="spellStart"/>
      <w:r>
        <w:rPr>
          <w:sz w:val="20"/>
        </w:rPr>
        <w:t>dotčena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04FCA958" w14:textId="77777777" w:rsidR="00116E4E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hanging="358"/>
        <w:jc w:val="both"/>
        <w:rPr>
          <w:sz w:val="20"/>
        </w:rPr>
      </w:pP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konkrétním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známé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považovány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tajnosti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aby k nim </w:t>
      </w:r>
      <w:proofErr w:type="spellStart"/>
      <w:r>
        <w:rPr>
          <w:sz w:val="20"/>
        </w:rPr>
        <w:t>neměla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nesdělit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zaměstnancům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proofErr w:type="gramStart"/>
      <w:r>
        <w:rPr>
          <w:sz w:val="20"/>
        </w:rPr>
        <w:t>které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tato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Smluvní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strana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zavázala</w:t>
      </w:r>
      <w:proofErr w:type="spellEnd"/>
      <w:r>
        <w:rPr>
          <w:sz w:val="20"/>
        </w:rPr>
        <w:t xml:space="preserve">  k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proofErr w:type="gramStart"/>
      <w:r>
        <w:rPr>
          <w:sz w:val="20"/>
        </w:rPr>
        <w:t xml:space="preserve">. 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které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byly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poskytnuty</w:t>
      </w:r>
      <w:proofErr w:type="spellEnd"/>
      <w:proofErr w:type="gramEnd"/>
      <w:r>
        <w:rPr>
          <w:sz w:val="20"/>
        </w:rPr>
        <w:t xml:space="preserve">  </w:t>
      </w:r>
      <w:r>
        <w:rPr>
          <w:spacing w:val="52"/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</w:p>
    <w:p w14:paraId="6BF93C14" w14:textId="77777777" w:rsidR="00116E4E" w:rsidRDefault="00116E4E">
      <w:pPr>
        <w:jc w:val="both"/>
        <w:rPr>
          <w:sz w:val="20"/>
        </w:rPr>
        <w:sectPr w:rsidR="00116E4E">
          <w:pgSz w:w="11910" w:h="16840"/>
          <w:pgMar w:top="1320" w:right="1200" w:bottom="920" w:left="1300" w:header="0" w:footer="726" w:gutter="0"/>
          <w:cols w:space="708"/>
        </w:sectPr>
      </w:pPr>
    </w:p>
    <w:p w14:paraId="5382C46C" w14:textId="77777777" w:rsidR="00116E4E" w:rsidRDefault="00000000">
      <w:pPr>
        <w:pStyle w:val="Zkladntext"/>
        <w:spacing w:before="77"/>
        <w:ind w:left="473" w:right="216"/>
        <w:jc w:val="both"/>
      </w:pPr>
      <w:proofErr w:type="spellStart"/>
      <w:r>
        <w:lastRenderedPageBreak/>
        <w:t>informace</w:t>
      </w:r>
      <w:proofErr w:type="spellEnd"/>
      <w:r>
        <w:t xml:space="preserve">,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za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Toto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předávaný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viditelně</w:t>
      </w:r>
      <w:proofErr w:type="spellEnd"/>
      <w:r>
        <w:t xml:space="preserve"> </w:t>
      </w:r>
      <w:proofErr w:type="spellStart"/>
      <w:r>
        <w:t>označen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důvěrný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ústně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informována</w:t>
      </w:r>
      <w:proofErr w:type="spellEnd"/>
      <w:r>
        <w:t xml:space="preserve"> o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povaze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s </w:t>
      </w:r>
      <w:proofErr w:type="spellStart"/>
      <w:r>
        <w:t>veškerými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skutečnostmi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     k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ohroženy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cíle</w:t>
      </w:r>
      <w:proofErr w:type="spellEnd"/>
      <w:r>
        <w:rPr>
          <w:spacing w:val="-3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AB6587F" w14:textId="77777777" w:rsidR="00116E4E" w:rsidRDefault="00116E4E">
      <w:pPr>
        <w:pStyle w:val="Zkladntext"/>
        <w:spacing w:before="5"/>
        <w:rPr>
          <w:sz w:val="30"/>
        </w:rPr>
      </w:pPr>
    </w:p>
    <w:p w14:paraId="206DE43E" w14:textId="77777777" w:rsidR="00116E4E" w:rsidRDefault="00000000">
      <w:pPr>
        <w:pStyle w:val="Zkladntext"/>
        <w:ind w:left="437" w:right="542"/>
        <w:jc w:val="center"/>
      </w:pPr>
      <w:proofErr w:type="spellStart"/>
      <w:r>
        <w:t>Čl</w:t>
      </w:r>
      <w:proofErr w:type="spellEnd"/>
      <w:r>
        <w:t>. XI.</w:t>
      </w:r>
    </w:p>
    <w:p w14:paraId="32D9EBC7" w14:textId="77777777" w:rsidR="00116E4E" w:rsidRDefault="00000000">
      <w:pPr>
        <w:pStyle w:val="Nadpis2"/>
        <w:ind w:left="439"/>
      </w:pPr>
      <w:proofErr w:type="spellStart"/>
      <w:r>
        <w:t>Kontrola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D36EF2E" w14:textId="77777777" w:rsidR="00116E4E" w:rsidRDefault="00116E4E">
      <w:pPr>
        <w:pStyle w:val="Zkladntext"/>
        <w:spacing w:before="10"/>
        <w:rPr>
          <w:b/>
          <w:sz w:val="19"/>
        </w:rPr>
      </w:pPr>
    </w:p>
    <w:p w14:paraId="6F82B942" w14:textId="77777777" w:rsidR="00116E4E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0"/>
        <w:ind w:right="216" w:hanging="358"/>
        <w:jc w:val="both"/>
        <w:rPr>
          <w:sz w:val="20"/>
        </w:rPr>
      </w:pP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kdykoliv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hospodaření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Podporou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komplexní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potřebnou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050A1B6E" w14:textId="77777777" w:rsidR="00116E4E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17"/>
        <w:ind w:right="216" w:hanging="357"/>
        <w:jc w:val="both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ovlivnit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smlouvách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Projektem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takovýchto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>.</w:t>
      </w:r>
    </w:p>
    <w:p w14:paraId="6FCB0793" w14:textId="77777777" w:rsidR="00116E4E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19"/>
        <w:ind w:left="475" w:right="103"/>
        <w:rPr>
          <w:sz w:val="20"/>
        </w:rPr>
      </w:pPr>
      <w:proofErr w:type="spellStart"/>
      <w:r>
        <w:rPr>
          <w:sz w:val="20"/>
        </w:rPr>
        <w:t>Účetní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doklady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použití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</w:p>
    <w:p w14:paraId="5AEE9095" w14:textId="77777777" w:rsidR="00116E4E" w:rsidRDefault="00000000">
      <w:pPr>
        <w:pStyle w:val="Zkladntext"/>
        <w:ind w:left="473"/>
        <w:jc w:val="both"/>
      </w:pP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deseti</w:t>
      </w:r>
      <w:proofErr w:type="spellEnd"/>
      <w:r>
        <w:t xml:space="preserve"> let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D2D797A" w14:textId="77777777" w:rsidR="00116E4E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18"/>
        <w:ind w:left="475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kontroly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průběhu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.</w:t>
      </w:r>
    </w:p>
    <w:p w14:paraId="2499EC87" w14:textId="77777777" w:rsidR="00116E4E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left="475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požádá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>.</w:t>
      </w:r>
    </w:p>
    <w:p w14:paraId="4013BB27" w14:textId="77777777" w:rsidR="00116E4E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left="475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přijmout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nedostatků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zjištěných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veřejnosprávní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, a o </w:t>
      </w:r>
      <w:proofErr w:type="spellStart"/>
      <w:r>
        <w:rPr>
          <w:sz w:val="20"/>
        </w:rPr>
        <w:t>přijatých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4FFFA547" w14:textId="77777777" w:rsidR="00116E4E" w:rsidRDefault="00116E4E">
      <w:pPr>
        <w:pStyle w:val="Zkladntext"/>
        <w:rPr>
          <w:sz w:val="22"/>
        </w:rPr>
      </w:pPr>
    </w:p>
    <w:p w14:paraId="1D747407" w14:textId="77777777" w:rsidR="00116E4E" w:rsidRDefault="00116E4E">
      <w:pPr>
        <w:pStyle w:val="Zkladntext"/>
        <w:rPr>
          <w:sz w:val="22"/>
        </w:rPr>
      </w:pPr>
    </w:p>
    <w:p w14:paraId="17940537" w14:textId="77777777" w:rsidR="00116E4E" w:rsidRDefault="00000000">
      <w:pPr>
        <w:pStyle w:val="Zkladntext"/>
        <w:spacing w:before="192"/>
        <w:ind w:left="439" w:right="542"/>
        <w:jc w:val="center"/>
      </w:pPr>
      <w:proofErr w:type="spellStart"/>
      <w:r>
        <w:t>Čl</w:t>
      </w:r>
      <w:proofErr w:type="spellEnd"/>
      <w:r>
        <w:t>. XII.</w:t>
      </w:r>
    </w:p>
    <w:p w14:paraId="2498CC33" w14:textId="77777777" w:rsidR="00116E4E" w:rsidRDefault="00000000">
      <w:pPr>
        <w:pStyle w:val="Nadpis2"/>
        <w:ind w:left="436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</w:p>
    <w:p w14:paraId="14DE835E" w14:textId="77777777" w:rsidR="00116E4E" w:rsidRDefault="00116E4E">
      <w:pPr>
        <w:pStyle w:val="Zkladntext"/>
        <w:spacing w:before="10"/>
        <w:rPr>
          <w:b/>
          <w:sz w:val="19"/>
        </w:rPr>
      </w:pPr>
    </w:p>
    <w:p w14:paraId="37626186" w14:textId="77777777" w:rsidR="00116E4E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0"/>
        <w:ind w:right="215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postupuje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jejichž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nemohou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>.</w:t>
      </w:r>
    </w:p>
    <w:p w14:paraId="54442A3E" w14:textId="77777777" w:rsidR="00116E4E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left="475" w:right="214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termíny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a  </w:t>
      </w:r>
      <w:proofErr w:type="spellStart"/>
      <w:r>
        <w:rPr>
          <w:sz w:val="20"/>
        </w:rPr>
        <w:t>zásady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vztahů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státním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a to do </w:t>
      </w:r>
      <w:proofErr w:type="gramStart"/>
      <w:r>
        <w:rPr>
          <w:sz w:val="20"/>
        </w:rPr>
        <w:t>7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se </w:t>
      </w:r>
      <w:proofErr w:type="spellStart"/>
      <w:r>
        <w:rPr>
          <w:sz w:val="20"/>
        </w:rPr>
        <w:t>dozví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nevyužije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jejímu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vyzván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15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prosince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němž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jejímu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vyzván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Nejvýše</w:t>
      </w:r>
      <w:proofErr w:type="spellEnd"/>
      <w:r>
        <w:rPr>
          <w:sz w:val="20"/>
        </w:rPr>
        <w:t xml:space="preserve"> 5 %     z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posledním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7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února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6158130" w14:textId="77777777" w:rsidR="00116E4E" w:rsidRDefault="00116E4E">
      <w:pPr>
        <w:jc w:val="both"/>
        <w:rPr>
          <w:sz w:val="20"/>
        </w:rPr>
        <w:sectPr w:rsidR="00116E4E">
          <w:pgSz w:w="11910" w:h="16840"/>
          <w:pgMar w:top="1320" w:right="1200" w:bottom="920" w:left="1300" w:header="0" w:footer="726" w:gutter="0"/>
          <w:cols w:space="708"/>
        </w:sectPr>
      </w:pPr>
    </w:p>
    <w:p w14:paraId="1209E129" w14:textId="77777777" w:rsidR="00116E4E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77"/>
        <w:ind w:left="475" w:right="0" w:hanging="359"/>
        <w:rPr>
          <w:sz w:val="20"/>
        </w:rPr>
      </w:pPr>
      <w:proofErr w:type="spellStart"/>
      <w:r>
        <w:rPr>
          <w:sz w:val="20"/>
        </w:rPr>
        <w:lastRenderedPageBreak/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00FA9C1" w14:textId="77777777" w:rsidR="00116E4E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164" w:line="230" w:lineRule="exact"/>
        <w:ind w:right="216"/>
        <w:jc w:val="both"/>
        <w:rPr>
          <w:rFonts w:ascii="Cambria" w:hAnsi="Cambria"/>
          <w:sz w:val="24"/>
        </w:rPr>
      </w:pPr>
      <w:r>
        <w:rPr>
          <w:sz w:val="20"/>
        </w:rPr>
        <w:t xml:space="preserve">Je-li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praxe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vyjádření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k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Za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přispět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uplatnitelný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uplatněný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využitý</w:t>
      </w:r>
      <w:proofErr w:type="spellEnd"/>
      <w:r>
        <w:rPr>
          <w:sz w:val="20"/>
        </w:rPr>
        <w:t xml:space="preserve"> v</w:t>
      </w:r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>.</w:t>
      </w:r>
    </w:p>
    <w:p w14:paraId="13F00C03" w14:textId="77777777" w:rsidR="00116E4E" w:rsidRDefault="00116E4E">
      <w:pPr>
        <w:pStyle w:val="Zkladntext"/>
        <w:rPr>
          <w:sz w:val="22"/>
        </w:rPr>
      </w:pPr>
    </w:p>
    <w:p w14:paraId="7B0979B9" w14:textId="77777777" w:rsidR="00116E4E" w:rsidRDefault="00116E4E">
      <w:pPr>
        <w:pStyle w:val="Zkladntext"/>
        <w:rPr>
          <w:sz w:val="22"/>
        </w:rPr>
      </w:pPr>
    </w:p>
    <w:p w14:paraId="358F959C" w14:textId="77777777" w:rsidR="00116E4E" w:rsidRDefault="00116E4E">
      <w:pPr>
        <w:pStyle w:val="Zkladntext"/>
        <w:spacing w:before="2"/>
        <w:rPr>
          <w:sz w:val="31"/>
        </w:rPr>
      </w:pPr>
    </w:p>
    <w:p w14:paraId="606B4E9F" w14:textId="77777777" w:rsidR="00116E4E" w:rsidRDefault="00000000">
      <w:pPr>
        <w:pStyle w:val="Zkladntext"/>
        <w:ind w:left="437" w:right="542"/>
        <w:jc w:val="center"/>
      </w:pPr>
      <w:proofErr w:type="spellStart"/>
      <w:r>
        <w:t>Čl</w:t>
      </w:r>
      <w:proofErr w:type="spellEnd"/>
      <w:r>
        <w:t>. XIII.</w:t>
      </w:r>
    </w:p>
    <w:p w14:paraId="0FB41882" w14:textId="77777777" w:rsidR="00116E4E" w:rsidRDefault="00000000">
      <w:pPr>
        <w:pStyle w:val="Nadpis2"/>
      </w:pPr>
      <w:proofErr w:type="spellStart"/>
      <w:r>
        <w:t>Vrácení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sankce</w:t>
      </w:r>
      <w:proofErr w:type="spellEnd"/>
      <w:r>
        <w:t xml:space="preserve">,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</w:p>
    <w:p w14:paraId="0B1CF88A" w14:textId="77777777" w:rsidR="00116E4E" w:rsidRDefault="00116E4E">
      <w:pPr>
        <w:pStyle w:val="Zkladntext"/>
        <w:rPr>
          <w:b/>
        </w:rPr>
      </w:pPr>
    </w:p>
    <w:p w14:paraId="71777A48" w14:textId="77777777" w:rsidR="00116E4E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"/>
        <w:ind w:right="215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vyžadovat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, resp. pro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a to do 10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jakéhokoli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může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uložena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odůvodněné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námitky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obranné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vracení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obraně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. Pro </w:t>
      </w:r>
      <w:proofErr w:type="spellStart"/>
      <w:r>
        <w:rPr>
          <w:sz w:val="20"/>
        </w:rPr>
        <w:t>vyloučení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pochybností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uvádí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opravné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mimořádné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opravné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kterými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neodkládá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vykonatelnost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neodkládají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k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>.</w:t>
      </w:r>
    </w:p>
    <w:p w14:paraId="0F9B062F" w14:textId="77777777" w:rsidR="00116E4E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left="473" w:hanging="357"/>
        <w:jc w:val="both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ji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opožděně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promile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>.</w:t>
      </w:r>
    </w:p>
    <w:p w14:paraId="4948ED73" w14:textId="77777777" w:rsidR="00116E4E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left="473" w:right="216"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vyjádřená</w:t>
      </w:r>
      <w:proofErr w:type="spellEnd"/>
      <w:r>
        <w:rPr>
          <w:sz w:val="20"/>
        </w:rPr>
        <w:t xml:space="preserve"> v </w:t>
      </w:r>
      <w:proofErr w:type="spellStart"/>
      <w:proofErr w:type="gramStart"/>
      <w:r>
        <w:rPr>
          <w:sz w:val="20"/>
        </w:rPr>
        <w:t>penězích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převyšuje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Hradí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ušlého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zisku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nepřímých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náhodných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>.</w:t>
      </w:r>
    </w:p>
    <w:p w14:paraId="0DCA2D59" w14:textId="77777777" w:rsidR="00116E4E" w:rsidRDefault="00116E4E">
      <w:pPr>
        <w:pStyle w:val="Zkladntext"/>
        <w:spacing w:before="3"/>
        <w:rPr>
          <w:sz w:val="30"/>
        </w:rPr>
      </w:pPr>
    </w:p>
    <w:p w14:paraId="203A5745" w14:textId="77777777" w:rsidR="00116E4E" w:rsidRDefault="00000000">
      <w:pPr>
        <w:pStyle w:val="Zkladntext"/>
        <w:ind w:left="439" w:right="542"/>
        <w:jc w:val="center"/>
      </w:pPr>
      <w:proofErr w:type="spellStart"/>
      <w:r>
        <w:t>Čl</w:t>
      </w:r>
      <w:proofErr w:type="spellEnd"/>
      <w:r>
        <w:t>. XIV.</w:t>
      </w:r>
    </w:p>
    <w:p w14:paraId="7932C4C9" w14:textId="77777777" w:rsidR="00116E4E" w:rsidRDefault="00000000">
      <w:pPr>
        <w:pStyle w:val="Nadpis2"/>
      </w:pPr>
      <w:r>
        <w:t xml:space="preserve">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BB4413E" w14:textId="77777777" w:rsidR="00116E4E" w:rsidRDefault="00116E4E">
      <w:pPr>
        <w:pStyle w:val="Zkladntext"/>
        <w:spacing w:before="1"/>
        <w:rPr>
          <w:b/>
        </w:rPr>
      </w:pPr>
    </w:p>
    <w:p w14:paraId="3D37A27E" w14:textId="77777777" w:rsidR="00116E4E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0"/>
        <w:ind w:right="214" w:hanging="358"/>
        <w:jc w:val="both"/>
        <w:rPr>
          <w:sz w:val="20"/>
        </w:rPr>
      </w:pPr>
      <w:r>
        <w:rPr>
          <w:sz w:val="20"/>
        </w:rPr>
        <w:t xml:space="preserve">Tato Smlouva je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určitou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ukončena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třech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prodloužení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e)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let od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g)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let od </w:t>
      </w:r>
      <w:proofErr w:type="spellStart"/>
      <w:r>
        <w:rPr>
          <w:sz w:val="20"/>
        </w:rPr>
        <w:t>konce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1A6193BE" w14:textId="77777777" w:rsidR="00116E4E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hanging="358"/>
        <w:jc w:val="both"/>
        <w:rPr>
          <w:sz w:val="20"/>
        </w:rPr>
      </w:pP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smlouvy</w:t>
      </w:r>
      <w:proofErr w:type="spellEnd"/>
      <w:r>
        <w:rPr>
          <w:sz w:val="20"/>
        </w:rPr>
        <w:t xml:space="preserve">  je</w:t>
      </w:r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ukončena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dnem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ukončení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platnosti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o  </w:t>
      </w:r>
      <w:proofErr w:type="spellStart"/>
      <w:r>
        <w:rPr>
          <w:sz w:val="20"/>
        </w:rPr>
        <w:t>poskytnutí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zůstávají</w:t>
      </w:r>
      <w:proofErr w:type="spellEnd"/>
      <w:r>
        <w:rPr>
          <w:sz w:val="20"/>
        </w:rPr>
        <w:t xml:space="preserve"> ta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u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zřejmé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úmyslem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zůstaly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skončení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2C6D9CF1" w14:textId="77777777" w:rsidR="00116E4E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58" w:line="230" w:lineRule="exact"/>
        <w:ind w:right="216" w:hanging="357"/>
        <w:jc w:val="both"/>
        <w:rPr>
          <w:sz w:val="24"/>
        </w:rPr>
      </w:pP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nesplní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k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042A96E1" w14:textId="77777777" w:rsidR="00116E4E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14"/>
        <w:ind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2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2025 do 17.10.2025, pro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2026 do 30.6.2026 a pro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2027 do 30.6.2027 </w:t>
      </w:r>
      <w:proofErr w:type="spellStart"/>
      <w:r>
        <w:rPr>
          <w:sz w:val="20"/>
        </w:rPr>
        <w:t>nezíská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Vlády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Slovenské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, resp. Ministerstva </w:t>
      </w:r>
      <w:proofErr w:type="spellStart"/>
      <w:r>
        <w:rPr>
          <w:sz w:val="20"/>
        </w:rPr>
        <w:t>financí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Slovenské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překročením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limitu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rozpočtových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verejnej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z w:val="20"/>
        </w:rPr>
        <w:t xml:space="preserve"> 523/2004 </w:t>
      </w:r>
      <w:proofErr w:type="spellStart"/>
      <w:r>
        <w:rPr>
          <w:sz w:val="20"/>
        </w:rPr>
        <w:t>Z.z.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planém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70EAFA98" w14:textId="77777777" w:rsidR="00116E4E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57" w:line="230" w:lineRule="exact"/>
        <w:ind w:hanging="357"/>
        <w:jc w:val="both"/>
        <w:rPr>
          <w:rFonts w:ascii="Times New Roman" w:hAnsi="Times New Roman"/>
          <w:sz w:val="24"/>
        </w:rPr>
      </w:pP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případné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úhrada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 XIII.</w:t>
      </w:r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019C96A7" w14:textId="77777777" w:rsidR="00116E4E" w:rsidRDefault="00116E4E">
      <w:pPr>
        <w:spacing w:line="230" w:lineRule="exact"/>
        <w:jc w:val="both"/>
        <w:rPr>
          <w:rFonts w:ascii="Times New Roman" w:hAnsi="Times New Roman"/>
          <w:sz w:val="24"/>
        </w:rPr>
        <w:sectPr w:rsidR="00116E4E">
          <w:pgSz w:w="11910" w:h="16840"/>
          <w:pgMar w:top="1320" w:right="1200" w:bottom="920" w:left="1300" w:header="0" w:footer="726" w:gutter="0"/>
          <w:cols w:space="708"/>
        </w:sectPr>
      </w:pPr>
    </w:p>
    <w:p w14:paraId="6F4C3AD7" w14:textId="77777777" w:rsidR="00116E4E" w:rsidRDefault="00116E4E">
      <w:pPr>
        <w:pStyle w:val="Zkladntext"/>
      </w:pPr>
    </w:p>
    <w:p w14:paraId="5A7A3075" w14:textId="77777777" w:rsidR="00116E4E" w:rsidRDefault="00116E4E">
      <w:pPr>
        <w:pStyle w:val="Zkladntext"/>
        <w:spacing w:before="1"/>
      </w:pPr>
    </w:p>
    <w:p w14:paraId="1CA1E288" w14:textId="77777777" w:rsidR="00116E4E" w:rsidRDefault="00000000">
      <w:pPr>
        <w:pStyle w:val="Zkladntext"/>
        <w:spacing w:before="93"/>
        <w:ind w:left="3780" w:right="3688"/>
        <w:jc w:val="center"/>
      </w:pPr>
      <w:proofErr w:type="spellStart"/>
      <w:r>
        <w:t>Čl</w:t>
      </w:r>
      <w:proofErr w:type="spellEnd"/>
      <w:r>
        <w:t>. XV.</w:t>
      </w:r>
    </w:p>
    <w:p w14:paraId="097C2FB6" w14:textId="77777777" w:rsidR="00116E4E" w:rsidRDefault="00000000">
      <w:pPr>
        <w:pStyle w:val="Nadpis2"/>
        <w:ind w:left="3780" w:right="3688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C3F0459" w14:textId="77777777" w:rsidR="00116E4E" w:rsidRDefault="00116E4E">
      <w:pPr>
        <w:pStyle w:val="Zkladntext"/>
        <w:spacing w:before="9"/>
        <w:rPr>
          <w:b/>
          <w:sz w:val="19"/>
        </w:rPr>
      </w:pPr>
    </w:p>
    <w:p w14:paraId="1896C31F" w14:textId="77777777" w:rsidR="00116E4E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0"/>
        <w:ind w:right="215" w:hanging="357"/>
        <w:jc w:val="both"/>
        <w:rPr>
          <w:sz w:val="20"/>
        </w:rPr>
      </w:pPr>
      <w:r>
        <w:rPr>
          <w:sz w:val="20"/>
        </w:rPr>
        <w:t xml:space="preserve">Tato Smlouva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89/2012 Sb., </w:t>
      </w:r>
      <w:proofErr w:type="spellStart"/>
      <w:r>
        <w:rPr>
          <w:sz w:val="20"/>
        </w:rPr>
        <w:t>občanský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>.</w:t>
      </w:r>
    </w:p>
    <w:p w14:paraId="6AC8283E" w14:textId="77777777" w:rsidR="00116E4E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9"/>
        <w:ind w:right="219" w:hanging="357"/>
        <w:jc w:val="both"/>
        <w:rPr>
          <w:sz w:val="20"/>
        </w:rPr>
      </w:pPr>
      <w:r>
        <w:rPr>
          <w:sz w:val="20"/>
        </w:rPr>
        <w:t xml:space="preserve">Spory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>.</w:t>
      </w:r>
    </w:p>
    <w:p w14:paraId="1BBCC444" w14:textId="77777777" w:rsidR="00116E4E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7"/>
        <w:ind w:hanging="358"/>
        <w:jc w:val="both"/>
        <w:rPr>
          <w:sz w:val="20"/>
        </w:rPr>
      </w:pPr>
      <w:r>
        <w:rPr>
          <w:sz w:val="20"/>
        </w:rPr>
        <w:t xml:space="preserve">Tato Smlouva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>.</w:t>
      </w:r>
    </w:p>
    <w:p w14:paraId="33C2345A" w14:textId="77777777" w:rsidR="00116E4E" w:rsidRDefault="00000000">
      <w:pPr>
        <w:pStyle w:val="Odstavecseseznamem"/>
        <w:numPr>
          <w:ilvl w:val="1"/>
          <w:numId w:val="1"/>
        </w:numPr>
        <w:tabs>
          <w:tab w:val="left" w:pos="676"/>
        </w:tabs>
        <w:ind w:right="220" w:hanging="358"/>
        <w:jc w:val="both"/>
        <w:rPr>
          <w:sz w:val="20"/>
        </w:rPr>
      </w:pP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doplňky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této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>.</w:t>
      </w:r>
    </w:p>
    <w:p w14:paraId="3C5F3DC2" w14:textId="77777777" w:rsidR="00116E4E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8"/>
        <w:ind w:hanging="358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listinné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2CD105E2" w14:textId="77777777" w:rsidR="00116E4E" w:rsidRDefault="00000000">
      <w:pPr>
        <w:pStyle w:val="Odstavecseseznamem"/>
        <w:numPr>
          <w:ilvl w:val="1"/>
          <w:numId w:val="1"/>
        </w:numPr>
        <w:tabs>
          <w:tab w:val="left" w:pos="677"/>
        </w:tabs>
        <w:spacing w:before="116"/>
        <w:ind w:right="216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vyjadřuje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omylů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69DB70BD" w14:textId="77777777" w:rsidR="00116E4E" w:rsidRDefault="00116E4E">
      <w:pPr>
        <w:pStyle w:val="Zkladntext"/>
      </w:pPr>
    </w:p>
    <w:p w14:paraId="2280E0FF" w14:textId="77777777" w:rsidR="00116E4E" w:rsidRDefault="00116E4E">
      <w:pPr>
        <w:pStyle w:val="Zkladntext"/>
      </w:pPr>
    </w:p>
    <w:p w14:paraId="4544646A" w14:textId="77777777" w:rsidR="00116E4E" w:rsidRDefault="00116E4E">
      <w:pPr>
        <w:pStyle w:val="Zkladntext"/>
        <w:spacing w:before="3" w:after="1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3819"/>
      </w:tblGrid>
      <w:tr w:rsidR="00116E4E" w14:paraId="3CD9C517" w14:textId="77777777">
        <w:trPr>
          <w:trHeight w:hRule="exact" w:val="683"/>
        </w:trPr>
        <w:tc>
          <w:tcPr>
            <w:tcW w:w="4131" w:type="dxa"/>
          </w:tcPr>
          <w:p w14:paraId="6BCCFED0" w14:textId="77777777" w:rsidR="00116E4E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V ………………. 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………………...</w:t>
            </w:r>
          </w:p>
          <w:p w14:paraId="32585644" w14:textId="77777777" w:rsidR="00116E4E" w:rsidRDefault="00116E4E">
            <w:pPr>
              <w:pStyle w:val="TableParagraph"/>
              <w:rPr>
                <w:sz w:val="20"/>
              </w:rPr>
            </w:pPr>
          </w:p>
          <w:p w14:paraId="01F24D57" w14:textId="77777777" w:rsidR="00116E4E" w:rsidRDefault="00000000">
            <w:pPr>
              <w:pStyle w:val="TableParagraph"/>
              <w:spacing w:before="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Hlavní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příjemce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819" w:type="dxa"/>
          </w:tcPr>
          <w:p w14:paraId="478DC5E4" w14:textId="77777777" w:rsidR="00116E4E" w:rsidRDefault="00000000">
            <w:pPr>
              <w:pStyle w:val="TableParagraph"/>
              <w:spacing w:line="223" w:lineRule="exact"/>
              <w:ind w:left="676"/>
              <w:rPr>
                <w:sz w:val="20"/>
              </w:rPr>
            </w:pPr>
            <w:r>
              <w:rPr>
                <w:sz w:val="20"/>
              </w:rPr>
              <w:t>V ……………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………………...</w:t>
            </w:r>
          </w:p>
          <w:p w14:paraId="24ED9A04" w14:textId="77777777" w:rsidR="00116E4E" w:rsidRDefault="00116E4E">
            <w:pPr>
              <w:pStyle w:val="TableParagraph"/>
              <w:rPr>
                <w:sz w:val="20"/>
              </w:rPr>
            </w:pPr>
          </w:p>
          <w:p w14:paraId="4A3A624B" w14:textId="77777777" w:rsidR="00116E4E" w:rsidRDefault="00000000">
            <w:pPr>
              <w:pStyle w:val="TableParagraph"/>
              <w:spacing w:before="1"/>
              <w:ind w:left="676"/>
              <w:rPr>
                <w:sz w:val="20"/>
              </w:rPr>
            </w:pPr>
            <w:proofErr w:type="spellStart"/>
            <w:r>
              <w:rPr>
                <w:sz w:val="20"/>
              </w:rPr>
              <w:t>Další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účastník</w:t>
            </w:r>
            <w:proofErr w:type="spellEnd"/>
            <w:r>
              <w:rPr>
                <w:sz w:val="20"/>
              </w:rPr>
              <w:t xml:space="preserve"> 1:</w:t>
            </w:r>
          </w:p>
        </w:tc>
      </w:tr>
    </w:tbl>
    <w:p w14:paraId="096AE823" w14:textId="77777777" w:rsidR="00116E4E" w:rsidRDefault="00116E4E">
      <w:pPr>
        <w:pStyle w:val="Zkladntext"/>
        <w:spacing w:before="1"/>
        <w:rPr>
          <w:sz w:val="6"/>
        </w:rPr>
      </w:pPr>
    </w:p>
    <w:p w14:paraId="655845F4" w14:textId="77777777" w:rsidR="00116E4E" w:rsidRDefault="00116E4E">
      <w:pPr>
        <w:rPr>
          <w:sz w:val="6"/>
        </w:rPr>
        <w:sectPr w:rsidR="00116E4E">
          <w:pgSz w:w="11910" w:h="16840"/>
          <w:pgMar w:top="1580" w:right="1200" w:bottom="920" w:left="1100" w:header="0" w:footer="726" w:gutter="0"/>
          <w:cols w:space="708"/>
        </w:sectPr>
      </w:pPr>
    </w:p>
    <w:p w14:paraId="64099CA2" w14:textId="09FA79AA" w:rsidR="00EE735E" w:rsidRDefault="00000000" w:rsidP="00EE735E">
      <w:pPr>
        <w:spacing w:before="98"/>
        <w:ind w:left="345"/>
        <w:rPr>
          <w:sz w:val="30"/>
        </w:rPr>
      </w:pPr>
      <w:r>
        <w:br w:type="column"/>
      </w:r>
      <w:r w:rsidR="00EE735E">
        <w:rPr>
          <w:sz w:val="30"/>
        </w:rPr>
        <w:t xml:space="preserve"> </w:t>
      </w:r>
    </w:p>
    <w:p w14:paraId="5FCAD8AD" w14:textId="2B919E9B" w:rsidR="00116E4E" w:rsidRDefault="00116E4E">
      <w:pPr>
        <w:spacing w:before="29" w:line="340" w:lineRule="exact"/>
        <w:ind w:left="1365" w:right="1313"/>
        <w:rPr>
          <w:sz w:val="30"/>
        </w:rPr>
      </w:pPr>
    </w:p>
    <w:p w14:paraId="03E75F49" w14:textId="77777777" w:rsidR="00116E4E" w:rsidRDefault="00116E4E">
      <w:pPr>
        <w:spacing w:line="340" w:lineRule="exact"/>
        <w:rPr>
          <w:sz w:val="30"/>
        </w:rPr>
        <w:sectPr w:rsidR="00116E4E">
          <w:type w:val="continuous"/>
          <w:pgSz w:w="11910" w:h="16840"/>
          <w:pgMar w:top="1320" w:right="1200" w:bottom="920" w:left="1100" w:header="708" w:footer="708" w:gutter="0"/>
          <w:cols w:num="3" w:space="708" w:equalWidth="0">
            <w:col w:w="2081" w:space="40"/>
            <w:col w:w="2137" w:space="318"/>
            <w:col w:w="5034"/>
          </w:cols>
        </w:sectPr>
      </w:pPr>
    </w:p>
    <w:p w14:paraId="5E3F1F5A" w14:textId="77777777" w:rsidR="00116E4E" w:rsidRDefault="00116E4E">
      <w:pPr>
        <w:pStyle w:val="Zkladntext"/>
      </w:pPr>
    </w:p>
    <w:p w14:paraId="36A2A380" w14:textId="77777777" w:rsidR="00116E4E" w:rsidRDefault="00116E4E">
      <w:pPr>
        <w:pStyle w:val="Zkladntext"/>
      </w:pPr>
    </w:p>
    <w:p w14:paraId="18673D3E" w14:textId="77777777" w:rsidR="00116E4E" w:rsidRDefault="00116E4E">
      <w:pPr>
        <w:pStyle w:val="Zkladntext"/>
      </w:pPr>
    </w:p>
    <w:p w14:paraId="4BA541E6" w14:textId="77777777" w:rsidR="00116E4E" w:rsidRDefault="00116E4E">
      <w:pPr>
        <w:pStyle w:val="Zkladntext"/>
        <w:rPr>
          <w:sz w:val="16"/>
        </w:rPr>
      </w:pPr>
    </w:p>
    <w:p w14:paraId="1DDDEE3F" w14:textId="77777777" w:rsidR="00116E4E" w:rsidRDefault="00000000">
      <w:pPr>
        <w:pStyle w:val="Zkladntext"/>
        <w:spacing w:before="93"/>
        <w:ind w:left="315"/>
      </w:pPr>
      <w:r>
        <w:t xml:space="preserve">V ………………. </w:t>
      </w:r>
      <w:proofErr w:type="spellStart"/>
      <w:r>
        <w:t>dne</w:t>
      </w:r>
      <w:proofErr w:type="spellEnd"/>
      <w:r>
        <w:t xml:space="preserve"> ………………...</w:t>
      </w:r>
    </w:p>
    <w:p w14:paraId="6609AA9F" w14:textId="77777777" w:rsidR="00116E4E" w:rsidRDefault="00116E4E">
      <w:pPr>
        <w:pStyle w:val="Zkladntext"/>
        <w:rPr>
          <w:sz w:val="12"/>
        </w:rPr>
      </w:pPr>
    </w:p>
    <w:p w14:paraId="1BE37765" w14:textId="77777777" w:rsidR="00116E4E" w:rsidRDefault="00116E4E">
      <w:pPr>
        <w:rPr>
          <w:sz w:val="12"/>
        </w:rPr>
        <w:sectPr w:rsidR="00116E4E">
          <w:type w:val="continuous"/>
          <w:pgSz w:w="11910" w:h="16840"/>
          <w:pgMar w:top="1320" w:right="1200" w:bottom="920" w:left="1100" w:header="708" w:footer="708" w:gutter="0"/>
          <w:cols w:space="708"/>
        </w:sectPr>
      </w:pPr>
    </w:p>
    <w:p w14:paraId="00682B2C" w14:textId="77777777" w:rsidR="00116E4E" w:rsidRDefault="00000000">
      <w:pPr>
        <w:pStyle w:val="Zkladntext"/>
        <w:spacing w:before="92"/>
        <w:ind w:left="316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r>
        <w:t>2:</w:t>
      </w:r>
    </w:p>
    <w:p w14:paraId="2F26C619" w14:textId="6AED17CD" w:rsidR="00116E4E" w:rsidRDefault="00116E4E">
      <w:pPr>
        <w:spacing w:line="219" w:lineRule="exact"/>
        <w:ind w:left="1962"/>
        <w:rPr>
          <w:rFonts w:ascii="Calibri"/>
          <w:sz w:val="18"/>
        </w:rPr>
      </w:pPr>
    </w:p>
    <w:p w14:paraId="1E07AAC5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5310A7C2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50889B47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2828E8D4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6C659AED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340A56D2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3543BB8D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5742B7E0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2DA6C544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502FF73D" w14:textId="77777777" w:rsidR="00EE735E" w:rsidRDefault="00EE735E">
      <w:pPr>
        <w:spacing w:line="219" w:lineRule="exact"/>
        <w:ind w:left="1962"/>
        <w:rPr>
          <w:rFonts w:ascii="Calibri"/>
          <w:sz w:val="18"/>
        </w:rPr>
      </w:pPr>
    </w:p>
    <w:p w14:paraId="7D8A8259" w14:textId="77777777" w:rsidR="00116E4E" w:rsidRDefault="00116E4E">
      <w:pPr>
        <w:pStyle w:val="Zkladntext"/>
        <w:rPr>
          <w:rFonts w:ascii="Calibri"/>
        </w:rPr>
      </w:pPr>
    </w:p>
    <w:p w14:paraId="45B7854C" w14:textId="77777777" w:rsidR="00116E4E" w:rsidRDefault="00000000">
      <w:pPr>
        <w:pStyle w:val="Zkladntext"/>
        <w:spacing w:before="4"/>
        <w:rPr>
          <w:rFonts w:ascii="Calibri"/>
          <w:sz w:val="13"/>
        </w:rPr>
      </w:pPr>
      <w:r>
        <w:pict w14:anchorId="5747E31C">
          <v:line id="_x0000_s2050" style="position:absolute;z-index:251655680;mso-wrap-distance-left:0;mso-wrap-distance-right:0;mso-position-horizontal-relative:page" from="69.35pt,10.8pt" to="525.85pt,10.8pt" strokeweight="1.44pt">
            <w10:wrap type="topAndBottom" anchorx="page"/>
          </v:line>
        </w:pict>
      </w:r>
    </w:p>
    <w:sectPr w:rsidR="00116E4E">
      <w:type w:val="continuous"/>
      <w:pgSz w:w="11910" w:h="16840"/>
      <w:pgMar w:top="1320" w:right="1200" w:bottom="92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5A49" w14:textId="77777777" w:rsidR="00974F63" w:rsidRDefault="00974F63">
      <w:r>
        <w:separator/>
      </w:r>
    </w:p>
  </w:endnote>
  <w:endnote w:type="continuationSeparator" w:id="0">
    <w:p w14:paraId="37ED44C3" w14:textId="77777777" w:rsidR="00974F63" w:rsidRDefault="0097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B197" w14:textId="77777777" w:rsidR="00116E4E" w:rsidRDefault="00000000">
    <w:pPr>
      <w:pStyle w:val="Zkladntext"/>
      <w:spacing w:line="14" w:lineRule="auto"/>
    </w:pPr>
    <w:r>
      <w:pict w14:anchorId="576417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2.5pt;margin-top:794.6pt;width:9pt;height:13.05pt;z-index:-251658752;mso-position-horizontal-relative:page;mso-position-vertical-relative:page" filled="f" stroked="f">
          <v:textbox inset="0,0,0,0">
            <w:txbxContent>
              <w:p w14:paraId="659DB0F8" w14:textId="77777777" w:rsidR="00116E4E" w:rsidRDefault="00000000">
                <w:pPr>
                  <w:pStyle w:val="Zkladn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3463" w14:textId="77777777" w:rsidR="00974F63" w:rsidRDefault="00974F63">
      <w:r>
        <w:separator/>
      </w:r>
    </w:p>
  </w:footnote>
  <w:footnote w:type="continuationSeparator" w:id="0">
    <w:p w14:paraId="08463489" w14:textId="77777777" w:rsidR="00974F63" w:rsidRDefault="00974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0E5"/>
    <w:multiLevelType w:val="hybridMultilevel"/>
    <w:tmpl w:val="E94A4E04"/>
    <w:lvl w:ilvl="0" w:tplc="47EC8E06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D86EBD6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205CBF56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B720F2AC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68AE3E30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49EE8594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F9ACF2F0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763412AA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5374FCEC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" w15:restartNumberingAfterBreak="0">
    <w:nsid w:val="146F1105"/>
    <w:multiLevelType w:val="hybridMultilevel"/>
    <w:tmpl w:val="3560F906"/>
    <w:lvl w:ilvl="0" w:tplc="266AF250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C702CC6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07AEDA86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082E0778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05783EBA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D484518A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7394861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D6C01BC4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826CF870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2" w15:restartNumberingAfterBreak="0">
    <w:nsid w:val="1A9F7758"/>
    <w:multiLevelType w:val="hybridMultilevel"/>
    <w:tmpl w:val="9F866DFC"/>
    <w:lvl w:ilvl="0" w:tplc="F15C056C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B94F7D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99FAA208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787A4D52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B590D2AA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845A13BC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9B581440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550053B6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EE76EC9C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3" w15:restartNumberingAfterBreak="0">
    <w:nsid w:val="20A21D93"/>
    <w:multiLevelType w:val="hybridMultilevel"/>
    <w:tmpl w:val="86A4A4CC"/>
    <w:lvl w:ilvl="0" w:tplc="C6F41B70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CC01484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6B02A7BE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B03EC66C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C93215C8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EFB0DEA2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AEEC35DE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F558C744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0150AE68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4" w15:restartNumberingAfterBreak="0">
    <w:nsid w:val="2BCA2957"/>
    <w:multiLevelType w:val="hybridMultilevel"/>
    <w:tmpl w:val="5A1E9A30"/>
    <w:lvl w:ilvl="0" w:tplc="A776DDB8">
      <w:start w:val="1"/>
      <w:numFmt w:val="decimal"/>
      <w:lvlText w:val="%1."/>
      <w:lvlJc w:val="left"/>
      <w:pPr>
        <w:ind w:left="540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AFE88E2">
      <w:numFmt w:val="bullet"/>
      <w:lvlText w:val="•"/>
      <w:lvlJc w:val="left"/>
      <w:pPr>
        <w:ind w:left="1426" w:hanging="425"/>
      </w:pPr>
      <w:rPr>
        <w:rFonts w:hint="default"/>
      </w:rPr>
    </w:lvl>
    <w:lvl w:ilvl="2" w:tplc="D3D2C93C">
      <w:numFmt w:val="bullet"/>
      <w:lvlText w:val="•"/>
      <w:lvlJc w:val="left"/>
      <w:pPr>
        <w:ind w:left="2313" w:hanging="425"/>
      </w:pPr>
      <w:rPr>
        <w:rFonts w:hint="default"/>
      </w:rPr>
    </w:lvl>
    <w:lvl w:ilvl="3" w:tplc="79AC45C0">
      <w:numFmt w:val="bullet"/>
      <w:lvlText w:val="•"/>
      <w:lvlJc w:val="left"/>
      <w:pPr>
        <w:ind w:left="3199" w:hanging="425"/>
      </w:pPr>
      <w:rPr>
        <w:rFonts w:hint="default"/>
      </w:rPr>
    </w:lvl>
    <w:lvl w:ilvl="4" w:tplc="6290C728">
      <w:numFmt w:val="bullet"/>
      <w:lvlText w:val="•"/>
      <w:lvlJc w:val="left"/>
      <w:pPr>
        <w:ind w:left="4086" w:hanging="425"/>
      </w:pPr>
      <w:rPr>
        <w:rFonts w:hint="default"/>
      </w:rPr>
    </w:lvl>
    <w:lvl w:ilvl="5" w:tplc="C284FE90">
      <w:numFmt w:val="bullet"/>
      <w:lvlText w:val="•"/>
      <w:lvlJc w:val="left"/>
      <w:pPr>
        <w:ind w:left="4973" w:hanging="425"/>
      </w:pPr>
      <w:rPr>
        <w:rFonts w:hint="default"/>
      </w:rPr>
    </w:lvl>
    <w:lvl w:ilvl="6" w:tplc="80E2D70C"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94CAA42C">
      <w:numFmt w:val="bullet"/>
      <w:lvlText w:val="•"/>
      <w:lvlJc w:val="left"/>
      <w:pPr>
        <w:ind w:left="6746" w:hanging="425"/>
      </w:pPr>
      <w:rPr>
        <w:rFonts w:hint="default"/>
      </w:rPr>
    </w:lvl>
    <w:lvl w:ilvl="8" w:tplc="B812379E">
      <w:numFmt w:val="bullet"/>
      <w:lvlText w:val="•"/>
      <w:lvlJc w:val="left"/>
      <w:pPr>
        <w:ind w:left="7633" w:hanging="425"/>
      </w:pPr>
      <w:rPr>
        <w:rFonts w:hint="default"/>
      </w:rPr>
    </w:lvl>
  </w:abstractNum>
  <w:abstractNum w:abstractNumId="5" w15:restartNumberingAfterBreak="0">
    <w:nsid w:val="309A4D4D"/>
    <w:multiLevelType w:val="hybridMultilevel"/>
    <w:tmpl w:val="70DC3C18"/>
    <w:lvl w:ilvl="0" w:tplc="F286A280">
      <w:start w:val="1"/>
      <w:numFmt w:val="decimal"/>
      <w:lvlText w:val="%1."/>
      <w:lvlJc w:val="left"/>
      <w:pPr>
        <w:ind w:left="473" w:hanging="35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E34A6FE">
      <w:numFmt w:val="bullet"/>
      <w:lvlText w:val="•"/>
      <w:lvlJc w:val="left"/>
      <w:pPr>
        <w:ind w:left="1372" w:hanging="358"/>
      </w:pPr>
      <w:rPr>
        <w:rFonts w:hint="default"/>
      </w:rPr>
    </w:lvl>
    <w:lvl w:ilvl="2" w:tplc="DAD47D9C">
      <w:numFmt w:val="bullet"/>
      <w:lvlText w:val="•"/>
      <w:lvlJc w:val="left"/>
      <w:pPr>
        <w:ind w:left="2265" w:hanging="358"/>
      </w:pPr>
      <w:rPr>
        <w:rFonts w:hint="default"/>
      </w:rPr>
    </w:lvl>
    <w:lvl w:ilvl="3" w:tplc="61B00188">
      <w:numFmt w:val="bullet"/>
      <w:lvlText w:val="•"/>
      <w:lvlJc w:val="left"/>
      <w:pPr>
        <w:ind w:left="3157" w:hanging="358"/>
      </w:pPr>
      <w:rPr>
        <w:rFonts w:hint="default"/>
      </w:rPr>
    </w:lvl>
    <w:lvl w:ilvl="4" w:tplc="27BA756A">
      <w:numFmt w:val="bullet"/>
      <w:lvlText w:val="•"/>
      <w:lvlJc w:val="left"/>
      <w:pPr>
        <w:ind w:left="4050" w:hanging="358"/>
      </w:pPr>
      <w:rPr>
        <w:rFonts w:hint="default"/>
      </w:rPr>
    </w:lvl>
    <w:lvl w:ilvl="5" w:tplc="C3E22F48">
      <w:numFmt w:val="bullet"/>
      <w:lvlText w:val="•"/>
      <w:lvlJc w:val="left"/>
      <w:pPr>
        <w:ind w:left="4943" w:hanging="358"/>
      </w:pPr>
      <w:rPr>
        <w:rFonts w:hint="default"/>
      </w:rPr>
    </w:lvl>
    <w:lvl w:ilvl="6" w:tplc="3C2CE65A">
      <w:numFmt w:val="bullet"/>
      <w:lvlText w:val="•"/>
      <w:lvlJc w:val="left"/>
      <w:pPr>
        <w:ind w:left="5835" w:hanging="358"/>
      </w:pPr>
      <w:rPr>
        <w:rFonts w:hint="default"/>
      </w:rPr>
    </w:lvl>
    <w:lvl w:ilvl="7" w:tplc="BC489C52">
      <w:numFmt w:val="bullet"/>
      <w:lvlText w:val="•"/>
      <w:lvlJc w:val="left"/>
      <w:pPr>
        <w:ind w:left="6728" w:hanging="358"/>
      </w:pPr>
      <w:rPr>
        <w:rFonts w:hint="default"/>
      </w:rPr>
    </w:lvl>
    <w:lvl w:ilvl="8" w:tplc="8A4061AA">
      <w:numFmt w:val="bullet"/>
      <w:lvlText w:val="•"/>
      <w:lvlJc w:val="left"/>
      <w:pPr>
        <w:ind w:left="7621" w:hanging="358"/>
      </w:pPr>
      <w:rPr>
        <w:rFonts w:hint="default"/>
      </w:rPr>
    </w:lvl>
  </w:abstractNum>
  <w:abstractNum w:abstractNumId="6" w15:restartNumberingAfterBreak="0">
    <w:nsid w:val="327D2583"/>
    <w:multiLevelType w:val="hybridMultilevel"/>
    <w:tmpl w:val="8D348A7A"/>
    <w:lvl w:ilvl="0" w:tplc="0F10258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3FD675DC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0FD6D214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F6BE7BC6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C4104836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D22CA0CC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5074F12E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F5CAF690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983CB460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7" w15:restartNumberingAfterBreak="0">
    <w:nsid w:val="371D109D"/>
    <w:multiLevelType w:val="hybridMultilevel"/>
    <w:tmpl w:val="3726FDD4"/>
    <w:lvl w:ilvl="0" w:tplc="5DC8257C">
      <w:start w:val="1"/>
      <w:numFmt w:val="decimal"/>
      <w:lvlText w:val="%1."/>
      <w:lvlJc w:val="left"/>
      <w:pPr>
        <w:ind w:left="543" w:hanging="106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8584B68">
      <w:numFmt w:val="bullet"/>
      <w:lvlText w:val="•"/>
      <w:lvlJc w:val="left"/>
      <w:pPr>
        <w:ind w:left="1426" w:hanging="1066"/>
      </w:pPr>
      <w:rPr>
        <w:rFonts w:hint="default"/>
      </w:rPr>
    </w:lvl>
    <w:lvl w:ilvl="2" w:tplc="40E86244">
      <w:numFmt w:val="bullet"/>
      <w:lvlText w:val="•"/>
      <w:lvlJc w:val="left"/>
      <w:pPr>
        <w:ind w:left="2313" w:hanging="1066"/>
      </w:pPr>
      <w:rPr>
        <w:rFonts w:hint="default"/>
      </w:rPr>
    </w:lvl>
    <w:lvl w:ilvl="3" w:tplc="40B6E034">
      <w:numFmt w:val="bullet"/>
      <w:lvlText w:val="•"/>
      <w:lvlJc w:val="left"/>
      <w:pPr>
        <w:ind w:left="3199" w:hanging="1066"/>
      </w:pPr>
      <w:rPr>
        <w:rFonts w:hint="default"/>
      </w:rPr>
    </w:lvl>
    <w:lvl w:ilvl="4" w:tplc="C3B0F014">
      <w:numFmt w:val="bullet"/>
      <w:lvlText w:val="•"/>
      <w:lvlJc w:val="left"/>
      <w:pPr>
        <w:ind w:left="4086" w:hanging="1066"/>
      </w:pPr>
      <w:rPr>
        <w:rFonts w:hint="default"/>
      </w:rPr>
    </w:lvl>
    <w:lvl w:ilvl="5" w:tplc="B53C770E">
      <w:numFmt w:val="bullet"/>
      <w:lvlText w:val="•"/>
      <w:lvlJc w:val="left"/>
      <w:pPr>
        <w:ind w:left="4973" w:hanging="1066"/>
      </w:pPr>
      <w:rPr>
        <w:rFonts w:hint="default"/>
      </w:rPr>
    </w:lvl>
    <w:lvl w:ilvl="6" w:tplc="FA36939E">
      <w:numFmt w:val="bullet"/>
      <w:lvlText w:val="•"/>
      <w:lvlJc w:val="left"/>
      <w:pPr>
        <w:ind w:left="5859" w:hanging="1066"/>
      </w:pPr>
      <w:rPr>
        <w:rFonts w:hint="default"/>
      </w:rPr>
    </w:lvl>
    <w:lvl w:ilvl="7" w:tplc="9DA41410">
      <w:numFmt w:val="bullet"/>
      <w:lvlText w:val="•"/>
      <w:lvlJc w:val="left"/>
      <w:pPr>
        <w:ind w:left="6746" w:hanging="1066"/>
      </w:pPr>
      <w:rPr>
        <w:rFonts w:hint="default"/>
      </w:rPr>
    </w:lvl>
    <w:lvl w:ilvl="8" w:tplc="211C9864">
      <w:numFmt w:val="bullet"/>
      <w:lvlText w:val="•"/>
      <w:lvlJc w:val="left"/>
      <w:pPr>
        <w:ind w:left="7633" w:hanging="1066"/>
      </w:pPr>
      <w:rPr>
        <w:rFonts w:hint="default"/>
      </w:rPr>
    </w:lvl>
  </w:abstractNum>
  <w:abstractNum w:abstractNumId="8" w15:restartNumberingAfterBreak="0">
    <w:nsid w:val="3E132C14"/>
    <w:multiLevelType w:val="hybridMultilevel"/>
    <w:tmpl w:val="7330629C"/>
    <w:lvl w:ilvl="0" w:tplc="689A5CB4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F9C5E94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F08BE00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7792A3CE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989ADCE2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7D0C9442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410E24DC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8190F8FE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B546B30A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9" w15:restartNumberingAfterBreak="0">
    <w:nsid w:val="511D0B9B"/>
    <w:multiLevelType w:val="hybridMultilevel"/>
    <w:tmpl w:val="EC761066"/>
    <w:lvl w:ilvl="0" w:tplc="6BFC062C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F2E6490">
      <w:start w:val="1"/>
      <w:numFmt w:val="lowerLetter"/>
      <w:lvlText w:val="%2)"/>
      <w:lvlJc w:val="left"/>
      <w:pPr>
        <w:ind w:left="836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478BE88">
      <w:numFmt w:val="bullet"/>
      <w:lvlText w:val="•"/>
      <w:lvlJc w:val="left"/>
      <w:pPr>
        <w:ind w:left="1791" w:hanging="361"/>
      </w:pPr>
      <w:rPr>
        <w:rFonts w:hint="default"/>
      </w:rPr>
    </w:lvl>
    <w:lvl w:ilvl="3" w:tplc="13BA4EEE">
      <w:numFmt w:val="bullet"/>
      <w:lvlText w:val="•"/>
      <w:lvlJc w:val="left"/>
      <w:pPr>
        <w:ind w:left="2743" w:hanging="361"/>
      </w:pPr>
      <w:rPr>
        <w:rFonts w:hint="default"/>
      </w:rPr>
    </w:lvl>
    <w:lvl w:ilvl="4" w:tplc="79C877D6">
      <w:numFmt w:val="bullet"/>
      <w:lvlText w:val="•"/>
      <w:lvlJc w:val="left"/>
      <w:pPr>
        <w:ind w:left="3695" w:hanging="361"/>
      </w:pPr>
      <w:rPr>
        <w:rFonts w:hint="default"/>
      </w:rPr>
    </w:lvl>
    <w:lvl w:ilvl="5" w:tplc="C68EEC68">
      <w:numFmt w:val="bullet"/>
      <w:lvlText w:val="•"/>
      <w:lvlJc w:val="left"/>
      <w:pPr>
        <w:ind w:left="4647" w:hanging="361"/>
      </w:pPr>
      <w:rPr>
        <w:rFonts w:hint="default"/>
      </w:rPr>
    </w:lvl>
    <w:lvl w:ilvl="6" w:tplc="18F00036">
      <w:numFmt w:val="bullet"/>
      <w:lvlText w:val="•"/>
      <w:lvlJc w:val="left"/>
      <w:pPr>
        <w:ind w:left="5599" w:hanging="361"/>
      </w:pPr>
      <w:rPr>
        <w:rFonts w:hint="default"/>
      </w:rPr>
    </w:lvl>
    <w:lvl w:ilvl="7" w:tplc="7A0A47DC">
      <w:numFmt w:val="bullet"/>
      <w:lvlText w:val="•"/>
      <w:lvlJc w:val="left"/>
      <w:pPr>
        <w:ind w:left="6550" w:hanging="361"/>
      </w:pPr>
      <w:rPr>
        <w:rFonts w:hint="default"/>
      </w:rPr>
    </w:lvl>
    <w:lvl w:ilvl="8" w:tplc="56E89EFC">
      <w:numFmt w:val="bullet"/>
      <w:lvlText w:val="•"/>
      <w:lvlJc w:val="left"/>
      <w:pPr>
        <w:ind w:left="7502" w:hanging="361"/>
      </w:pPr>
      <w:rPr>
        <w:rFonts w:hint="default"/>
      </w:rPr>
    </w:lvl>
  </w:abstractNum>
  <w:abstractNum w:abstractNumId="10" w15:restartNumberingAfterBreak="0">
    <w:nsid w:val="51DA61DF"/>
    <w:multiLevelType w:val="hybridMultilevel"/>
    <w:tmpl w:val="FC76D832"/>
    <w:lvl w:ilvl="0" w:tplc="AA0C045A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2660250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F712FD7E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4FDAD448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7E02936C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FE1AD004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A5900568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B43A8964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2C4CE728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1" w15:restartNumberingAfterBreak="0">
    <w:nsid w:val="67F039D7"/>
    <w:multiLevelType w:val="hybridMultilevel"/>
    <w:tmpl w:val="B9F80F5E"/>
    <w:lvl w:ilvl="0" w:tplc="E362C81C">
      <w:start w:val="1"/>
      <w:numFmt w:val="decimal"/>
      <w:lvlText w:val="%1."/>
      <w:lvlJc w:val="left"/>
      <w:pPr>
        <w:ind w:left="473" w:hanging="360"/>
        <w:jc w:val="left"/>
      </w:pPr>
      <w:rPr>
        <w:rFonts w:hint="default"/>
        <w:spacing w:val="-1"/>
        <w:w w:val="99"/>
      </w:rPr>
    </w:lvl>
    <w:lvl w:ilvl="1" w:tplc="50F8A3E8">
      <w:start w:val="1"/>
      <w:numFmt w:val="decimal"/>
      <w:lvlText w:val="%2."/>
      <w:lvlJc w:val="left"/>
      <w:pPr>
        <w:ind w:left="6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A3186AD6">
      <w:numFmt w:val="bullet"/>
      <w:lvlText w:val="•"/>
      <w:lvlJc w:val="left"/>
      <w:pPr>
        <w:ind w:left="1649" w:hanging="360"/>
      </w:pPr>
      <w:rPr>
        <w:rFonts w:hint="default"/>
      </w:rPr>
    </w:lvl>
    <w:lvl w:ilvl="3" w:tplc="28189036">
      <w:numFmt w:val="bullet"/>
      <w:lvlText w:val="•"/>
      <w:lvlJc w:val="left"/>
      <w:pPr>
        <w:ind w:left="2619" w:hanging="360"/>
      </w:pPr>
      <w:rPr>
        <w:rFonts w:hint="default"/>
      </w:rPr>
    </w:lvl>
    <w:lvl w:ilvl="4" w:tplc="0A3846D6"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03088DA2">
      <w:numFmt w:val="bullet"/>
      <w:lvlText w:val="•"/>
      <w:lvlJc w:val="left"/>
      <w:pPr>
        <w:ind w:left="4558" w:hanging="360"/>
      </w:pPr>
      <w:rPr>
        <w:rFonts w:hint="default"/>
      </w:rPr>
    </w:lvl>
    <w:lvl w:ilvl="6" w:tplc="26EC8CD8"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E74E4B3A"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785AA8A6">
      <w:numFmt w:val="bullet"/>
      <w:lvlText w:val="•"/>
      <w:lvlJc w:val="left"/>
      <w:pPr>
        <w:ind w:left="7467" w:hanging="360"/>
      </w:pPr>
      <w:rPr>
        <w:rFonts w:hint="default"/>
      </w:rPr>
    </w:lvl>
  </w:abstractNum>
  <w:abstractNum w:abstractNumId="12" w15:restartNumberingAfterBreak="0">
    <w:nsid w:val="6D522CED"/>
    <w:multiLevelType w:val="hybridMultilevel"/>
    <w:tmpl w:val="5890F7B4"/>
    <w:lvl w:ilvl="0" w:tplc="6CCC4102">
      <w:start w:val="1"/>
      <w:numFmt w:val="decimal"/>
      <w:lvlText w:val="%1."/>
      <w:lvlJc w:val="left"/>
      <w:pPr>
        <w:ind w:left="473" w:hanging="360"/>
        <w:jc w:val="left"/>
      </w:pPr>
      <w:rPr>
        <w:rFonts w:hint="default"/>
        <w:spacing w:val="-1"/>
        <w:w w:val="99"/>
      </w:rPr>
    </w:lvl>
    <w:lvl w:ilvl="1" w:tplc="4F5CE066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2BE666E4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A45621E2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47D882FA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136C9174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8B54B77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1F5EAFFC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C6B227F6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3" w15:restartNumberingAfterBreak="0">
    <w:nsid w:val="71521CB1"/>
    <w:multiLevelType w:val="hybridMultilevel"/>
    <w:tmpl w:val="BE7668C8"/>
    <w:lvl w:ilvl="0" w:tplc="6250116C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C8271C8">
      <w:numFmt w:val="bullet"/>
      <w:lvlText w:val="•"/>
      <w:lvlJc w:val="left"/>
      <w:pPr>
        <w:ind w:left="640" w:hanging="360"/>
      </w:pPr>
      <w:rPr>
        <w:rFonts w:hint="default"/>
      </w:rPr>
    </w:lvl>
    <w:lvl w:ilvl="2" w:tplc="8DE03682">
      <w:numFmt w:val="bullet"/>
      <w:lvlText w:val="•"/>
      <w:lvlJc w:val="left"/>
      <w:pPr>
        <w:ind w:left="1614" w:hanging="360"/>
      </w:pPr>
      <w:rPr>
        <w:rFonts w:hint="default"/>
      </w:rPr>
    </w:lvl>
    <w:lvl w:ilvl="3" w:tplc="AC327678">
      <w:numFmt w:val="bullet"/>
      <w:lvlText w:val="•"/>
      <w:lvlJc w:val="left"/>
      <w:pPr>
        <w:ind w:left="2588" w:hanging="360"/>
      </w:pPr>
      <w:rPr>
        <w:rFonts w:hint="default"/>
      </w:rPr>
    </w:lvl>
    <w:lvl w:ilvl="4" w:tplc="3FD086C0">
      <w:numFmt w:val="bullet"/>
      <w:lvlText w:val="•"/>
      <w:lvlJc w:val="left"/>
      <w:pPr>
        <w:ind w:left="3562" w:hanging="360"/>
      </w:pPr>
      <w:rPr>
        <w:rFonts w:hint="default"/>
      </w:rPr>
    </w:lvl>
    <w:lvl w:ilvl="5" w:tplc="F4563974">
      <w:numFmt w:val="bullet"/>
      <w:lvlText w:val="•"/>
      <w:lvlJc w:val="left"/>
      <w:pPr>
        <w:ind w:left="4536" w:hanging="360"/>
      </w:pPr>
      <w:rPr>
        <w:rFonts w:hint="default"/>
      </w:rPr>
    </w:lvl>
    <w:lvl w:ilvl="6" w:tplc="A7E20ED2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DD408E0C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E93EA7C2">
      <w:numFmt w:val="bullet"/>
      <w:lvlText w:val="•"/>
      <w:lvlJc w:val="left"/>
      <w:pPr>
        <w:ind w:left="7458" w:hanging="360"/>
      </w:pPr>
      <w:rPr>
        <w:rFonts w:hint="default"/>
      </w:rPr>
    </w:lvl>
  </w:abstractNum>
  <w:abstractNum w:abstractNumId="14" w15:restartNumberingAfterBreak="0">
    <w:nsid w:val="723C35D2"/>
    <w:multiLevelType w:val="hybridMultilevel"/>
    <w:tmpl w:val="E6D8A51E"/>
    <w:lvl w:ilvl="0" w:tplc="13CE3FF2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-1"/>
        <w:w w:val="99"/>
      </w:rPr>
    </w:lvl>
    <w:lvl w:ilvl="1" w:tplc="BA82AA8A"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F72CD918">
      <w:numFmt w:val="bullet"/>
      <w:lvlText w:val="•"/>
      <w:lvlJc w:val="left"/>
      <w:pPr>
        <w:ind w:left="1596" w:hanging="360"/>
      </w:pPr>
      <w:rPr>
        <w:rFonts w:hint="default"/>
      </w:rPr>
    </w:lvl>
    <w:lvl w:ilvl="3" w:tplc="F0A69A2E">
      <w:numFmt w:val="bullet"/>
      <w:lvlText w:val="•"/>
      <w:lvlJc w:val="left"/>
      <w:pPr>
        <w:ind w:left="2572" w:hanging="360"/>
      </w:pPr>
      <w:rPr>
        <w:rFonts w:hint="default"/>
      </w:rPr>
    </w:lvl>
    <w:lvl w:ilvl="4" w:tplc="6FD25106">
      <w:numFmt w:val="bullet"/>
      <w:lvlText w:val="•"/>
      <w:lvlJc w:val="left"/>
      <w:pPr>
        <w:ind w:left="3548" w:hanging="360"/>
      </w:pPr>
      <w:rPr>
        <w:rFonts w:hint="default"/>
      </w:rPr>
    </w:lvl>
    <w:lvl w:ilvl="5" w:tplc="EBB03E36"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268E6E62"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0A0A81F2">
      <w:numFmt w:val="bullet"/>
      <w:lvlText w:val="•"/>
      <w:lvlJc w:val="left"/>
      <w:pPr>
        <w:ind w:left="6477" w:hanging="360"/>
      </w:pPr>
      <w:rPr>
        <w:rFonts w:hint="default"/>
      </w:rPr>
    </w:lvl>
    <w:lvl w:ilvl="8" w:tplc="A66ABEC0">
      <w:numFmt w:val="bullet"/>
      <w:lvlText w:val="•"/>
      <w:lvlJc w:val="left"/>
      <w:pPr>
        <w:ind w:left="7453" w:hanging="360"/>
      </w:pPr>
      <w:rPr>
        <w:rFonts w:hint="default"/>
      </w:rPr>
    </w:lvl>
  </w:abstractNum>
  <w:num w:numId="1" w16cid:durableId="1457066121">
    <w:abstractNumId w:val="11"/>
  </w:num>
  <w:num w:numId="2" w16cid:durableId="1522932524">
    <w:abstractNumId w:val="8"/>
  </w:num>
  <w:num w:numId="3" w16cid:durableId="1995991956">
    <w:abstractNumId w:val="12"/>
  </w:num>
  <w:num w:numId="4" w16cid:durableId="1961960458">
    <w:abstractNumId w:val="3"/>
  </w:num>
  <w:num w:numId="5" w16cid:durableId="62945879">
    <w:abstractNumId w:val="1"/>
  </w:num>
  <w:num w:numId="6" w16cid:durableId="1157261212">
    <w:abstractNumId w:val="14"/>
  </w:num>
  <w:num w:numId="7" w16cid:durableId="1383603723">
    <w:abstractNumId w:val="4"/>
  </w:num>
  <w:num w:numId="8" w16cid:durableId="1546874145">
    <w:abstractNumId w:val="2"/>
  </w:num>
  <w:num w:numId="9" w16cid:durableId="271322474">
    <w:abstractNumId w:val="9"/>
  </w:num>
  <w:num w:numId="10" w16cid:durableId="778184129">
    <w:abstractNumId w:val="13"/>
  </w:num>
  <w:num w:numId="11" w16cid:durableId="864833485">
    <w:abstractNumId w:val="10"/>
  </w:num>
  <w:num w:numId="12" w16cid:durableId="48698873">
    <w:abstractNumId w:val="5"/>
  </w:num>
  <w:num w:numId="13" w16cid:durableId="183446009">
    <w:abstractNumId w:val="0"/>
  </w:num>
  <w:num w:numId="14" w16cid:durableId="239558988">
    <w:abstractNumId w:val="7"/>
  </w:num>
  <w:num w:numId="15" w16cid:durableId="382019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E4E"/>
    <w:rsid w:val="00116E4E"/>
    <w:rsid w:val="00974F63"/>
    <w:rsid w:val="00C90562"/>
    <w:rsid w:val="00E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37EF844"/>
  <w15:docId w15:val="{7A4568ED-4F6B-472B-A4AB-7D05B14A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437" w:right="5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473" w:right="217" w:hanging="35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cr.gov.cz/soutez/nezarazeno/druha-verejna-soutez-10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3842</Words>
  <Characters>22669</Characters>
  <Application>Microsoft Office Word</Application>
  <DocSecurity>0</DocSecurity>
  <Lines>188</Lines>
  <Paragraphs>52</Paragraphs>
  <ScaleCrop>false</ScaleCrop>
  <Company/>
  <LinksUpToDate>false</LinksUpToDate>
  <CharactersWithSpaces>26459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2025-07-29T09:54:00Z</dcterms:created>
  <dcterms:modified xsi:type="dcterms:W3CDTF">2025-07-29T07:57:00Z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2025-07-29T00:00:00Z</vt:filetime>
  </property>
</Properties>
</file>