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2F0A7" w14:textId="35F93458" w:rsidR="00A95B06" w:rsidRPr="00DD346D" w:rsidRDefault="00C32417" w:rsidP="00A95B06">
      <w:pPr>
        <w:jc w:val="center"/>
        <w:rPr>
          <w:b/>
          <w:sz w:val="32"/>
          <w:szCs w:val="32"/>
        </w:rPr>
      </w:pPr>
      <w:bookmarkStart w:id="0" w:name="_GoBack"/>
      <w:bookmarkEnd w:id="0"/>
      <w:r w:rsidRPr="00272EE2">
        <w:rPr>
          <w:b/>
          <w:sz w:val="32"/>
          <w:szCs w:val="32"/>
        </w:rPr>
        <w:t xml:space="preserve">DODATEK č. </w:t>
      </w:r>
      <w:r w:rsidR="002A29C1">
        <w:rPr>
          <w:b/>
          <w:sz w:val="32"/>
          <w:szCs w:val="32"/>
        </w:rPr>
        <w:t>1</w:t>
      </w:r>
      <w:r w:rsidR="00272EE2" w:rsidRPr="00272EE2">
        <w:rPr>
          <w:b/>
          <w:sz w:val="32"/>
          <w:szCs w:val="32"/>
        </w:rPr>
        <w:t xml:space="preserve"> </w:t>
      </w:r>
      <w:r w:rsidRPr="00272EE2">
        <w:rPr>
          <w:b/>
          <w:sz w:val="32"/>
          <w:szCs w:val="32"/>
        </w:rPr>
        <w:t xml:space="preserve">ke Smlouvě </w:t>
      </w:r>
      <w:r w:rsidR="00DD346D">
        <w:rPr>
          <w:b/>
          <w:sz w:val="32"/>
          <w:szCs w:val="32"/>
        </w:rPr>
        <w:t xml:space="preserve">o dílo </w:t>
      </w:r>
      <w:r w:rsidR="00A95B06" w:rsidRPr="00A95B06">
        <w:rPr>
          <w:b/>
          <w:bCs/>
          <w:sz w:val="32"/>
          <w:szCs w:val="32"/>
        </w:rPr>
        <w:t xml:space="preserve">č. </w:t>
      </w:r>
      <w:r w:rsidR="00DD346D" w:rsidRPr="00DD346D">
        <w:rPr>
          <w:b/>
          <w:sz w:val="32"/>
          <w:szCs w:val="32"/>
        </w:rPr>
        <w:t>00186/2023/OIVZ/01</w:t>
      </w:r>
    </w:p>
    <w:p w14:paraId="4D78127C" w14:textId="630AFDD2" w:rsidR="00C32417" w:rsidRDefault="00A95B06" w:rsidP="00DD346D">
      <w:pPr>
        <w:pStyle w:val="Default"/>
        <w:jc w:val="center"/>
        <w:rPr>
          <w:rFonts w:ascii="Arial" w:hAnsi="Arial" w:cs="Arial"/>
          <w:b/>
          <w:bCs/>
          <w:color w:val="auto"/>
          <w:lang w:eastAsia="zh-CN"/>
        </w:rPr>
      </w:pPr>
      <w:r w:rsidRPr="00A95B06">
        <w:rPr>
          <w:rFonts w:ascii="Arial" w:hAnsi="Arial" w:cs="Arial"/>
          <w:b/>
          <w:bCs/>
          <w:color w:val="auto"/>
          <w:lang w:eastAsia="zh-CN"/>
        </w:rPr>
        <w:t xml:space="preserve">na plnění veřejné zakázky </w:t>
      </w:r>
      <w:r w:rsidR="008870C0">
        <w:rPr>
          <w:rFonts w:ascii="Arial" w:hAnsi="Arial" w:cs="Arial"/>
          <w:b/>
          <w:bCs/>
          <w:color w:val="auto"/>
          <w:lang w:eastAsia="zh-CN"/>
        </w:rPr>
        <w:br/>
      </w:r>
      <w:r w:rsidRPr="00A95B06">
        <w:rPr>
          <w:rFonts w:ascii="Arial" w:hAnsi="Arial" w:cs="Arial"/>
          <w:b/>
          <w:bCs/>
          <w:color w:val="auto"/>
          <w:lang w:eastAsia="zh-CN"/>
        </w:rPr>
        <w:t>„</w:t>
      </w:r>
      <w:r w:rsidR="00DD346D" w:rsidRPr="00DD346D">
        <w:rPr>
          <w:rFonts w:ascii="Arial" w:hAnsi="Arial" w:cs="Arial"/>
          <w:b/>
          <w:bCs/>
          <w:color w:val="auto"/>
          <w:lang w:eastAsia="zh-CN"/>
        </w:rPr>
        <w:t>FRDB – výstavba bytového domu Za Papírnou - Městský dům Za Papírnou - PD</w:t>
      </w:r>
      <w:r w:rsidRPr="00A95B06">
        <w:rPr>
          <w:rFonts w:ascii="Arial" w:hAnsi="Arial" w:cs="Arial"/>
          <w:b/>
          <w:bCs/>
          <w:color w:val="auto"/>
          <w:lang w:eastAsia="zh-CN"/>
        </w:rPr>
        <w:t>“</w:t>
      </w:r>
    </w:p>
    <w:p w14:paraId="7E2F5960" w14:textId="77777777" w:rsidR="00A95B06" w:rsidRPr="00A95B06" w:rsidRDefault="00A95B06" w:rsidP="00A95B06">
      <w:pPr>
        <w:pStyle w:val="Default"/>
        <w:jc w:val="center"/>
        <w:rPr>
          <w:rFonts w:ascii="Arial" w:hAnsi="Arial" w:cs="Arial"/>
          <w:b/>
          <w:bCs/>
        </w:rPr>
      </w:pPr>
    </w:p>
    <w:p w14:paraId="1269FFDB" w14:textId="6C4A28B6" w:rsidR="00A1678F" w:rsidRDefault="005A4742" w:rsidP="00C32417">
      <w:pPr>
        <w:jc w:val="center"/>
        <w:rPr>
          <w:b/>
          <w:szCs w:val="22"/>
        </w:rPr>
      </w:pPr>
      <w:r>
        <w:rPr>
          <w:b/>
          <w:szCs w:val="22"/>
        </w:rPr>
        <w:t>uzavřené</w:t>
      </w:r>
      <w:r w:rsidR="00A1678F">
        <w:rPr>
          <w:b/>
          <w:szCs w:val="22"/>
        </w:rPr>
        <w:t xml:space="preserve"> podle § 2586 a násl. z</w:t>
      </w:r>
      <w:r>
        <w:rPr>
          <w:b/>
          <w:szCs w:val="22"/>
        </w:rPr>
        <w:t>ákona č. 89/2012 Sb., občanský zákoník</w:t>
      </w:r>
      <w:r w:rsidR="00326F2D">
        <w:rPr>
          <w:b/>
          <w:szCs w:val="22"/>
        </w:rPr>
        <w:t>, v platném znění</w:t>
      </w:r>
      <w:r w:rsidR="00A1678F">
        <w:rPr>
          <w:b/>
          <w:szCs w:val="22"/>
        </w:rPr>
        <w:t xml:space="preserve"> </w:t>
      </w:r>
    </w:p>
    <w:p w14:paraId="0789421D" w14:textId="10FEAD82" w:rsidR="00C32417" w:rsidRPr="002A29C1" w:rsidRDefault="00C32417" w:rsidP="00A1678F">
      <w:pPr>
        <w:pBdr>
          <w:bottom w:val="single" w:sz="4" w:space="1" w:color="auto"/>
        </w:pBdr>
        <w:jc w:val="center"/>
        <w:rPr>
          <w:i/>
          <w:szCs w:val="22"/>
        </w:rPr>
      </w:pPr>
      <w:r w:rsidRPr="002A29C1">
        <w:rPr>
          <w:i/>
          <w:szCs w:val="22"/>
        </w:rPr>
        <w:t>(dále jen „</w:t>
      </w:r>
      <w:r w:rsidR="00326F2D">
        <w:rPr>
          <w:i/>
          <w:szCs w:val="22"/>
        </w:rPr>
        <w:t>OZ</w:t>
      </w:r>
      <w:r w:rsidRPr="002A29C1">
        <w:rPr>
          <w:i/>
          <w:szCs w:val="22"/>
        </w:rPr>
        <w:t>“)</w:t>
      </w:r>
    </w:p>
    <w:p w14:paraId="079FA167" w14:textId="77777777" w:rsidR="002A29C1" w:rsidRPr="00751BF3" w:rsidRDefault="002A29C1" w:rsidP="00A1678F">
      <w:pPr>
        <w:pBdr>
          <w:bottom w:val="single" w:sz="4" w:space="1" w:color="auto"/>
        </w:pBdr>
        <w:jc w:val="center"/>
        <w:rPr>
          <w:sz w:val="20"/>
          <w:szCs w:val="20"/>
        </w:rPr>
      </w:pPr>
    </w:p>
    <w:p w14:paraId="37BA05F0" w14:textId="77777777" w:rsidR="00A1678F" w:rsidRPr="00A1678F" w:rsidRDefault="00A1678F" w:rsidP="00A1678F">
      <w:pPr>
        <w:pStyle w:val="Nadpis4"/>
        <w:jc w:val="center"/>
        <w:rPr>
          <w:rFonts w:ascii="Arial" w:eastAsia="Times New Roman" w:hAnsi="Arial" w:cs="Arial"/>
          <w:bCs w:val="0"/>
          <w:i w:val="0"/>
          <w:iCs w:val="0"/>
          <w:color w:val="auto"/>
          <w:szCs w:val="22"/>
        </w:rPr>
      </w:pPr>
      <w:r w:rsidRPr="00A1678F">
        <w:rPr>
          <w:rFonts w:ascii="Arial" w:eastAsia="Times New Roman" w:hAnsi="Arial" w:cs="Arial"/>
          <w:bCs w:val="0"/>
          <w:i w:val="0"/>
          <w:iCs w:val="0"/>
          <w:color w:val="auto"/>
          <w:szCs w:val="22"/>
        </w:rPr>
        <w:t>Smluvní strany</w:t>
      </w:r>
    </w:p>
    <w:p w14:paraId="768292E3" w14:textId="77777777" w:rsidR="00A1678F" w:rsidRPr="00A1678F" w:rsidRDefault="00A1678F" w:rsidP="00A1678F">
      <w:pPr>
        <w:spacing w:line="240" w:lineRule="exact"/>
        <w:jc w:val="both"/>
        <w:rPr>
          <w:szCs w:val="22"/>
        </w:rPr>
      </w:pPr>
    </w:p>
    <w:p w14:paraId="6B1896F3" w14:textId="77777777" w:rsidR="003B0A79" w:rsidRPr="005E7E4A" w:rsidRDefault="003B0A79" w:rsidP="003B0A79">
      <w:pPr>
        <w:spacing w:line="240" w:lineRule="exact"/>
        <w:jc w:val="both"/>
        <w:rPr>
          <w:szCs w:val="22"/>
        </w:rPr>
      </w:pPr>
      <w:r>
        <w:rPr>
          <w:szCs w:val="22"/>
        </w:rPr>
        <w:t>Objednatel</w:t>
      </w:r>
      <w:r w:rsidRPr="00750455">
        <w:rPr>
          <w:szCs w:val="22"/>
        </w:rPr>
        <w:t>:</w:t>
      </w:r>
      <w:r w:rsidRPr="00750455">
        <w:rPr>
          <w:szCs w:val="22"/>
        </w:rPr>
        <w:tab/>
      </w:r>
      <w:r w:rsidRPr="00750455">
        <w:rPr>
          <w:szCs w:val="22"/>
        </w:rPr>
        <w:tab/>
      </w:r>
      <w:r w:rsidRPr="00750455">
        <w:rPr>
          <w:b/>
          <w:szCs w:val="22"/>
        </w:rPr>
        <w:t xml:space="preserve">         </w:t>
      </w:r>
      <w:r>
        <w:rPr>
          <w:b/>
          <w:szCs w:val="22"/>
        </w:rPr>
        <w:tab/>
        <w:t>M</w:t>
      </w:r>
      <w:r w:rsidRPr="00750455">
        <w:rPr>
          <w:b/>
          <w:szCs w:val="22"/>
        </w:rPr>
        <w:t xml:space="preserve">ěstská část </w:t>
      </w:r>
      <w:r w:rsidRPr="005E7E4A">
        <w:rPr>
          <w:b/>
          <w:szCs w:val="22"/>
        </w:rPr>
        <w:t>Praha 7</w:t>
      </w:r>
      <w:r w:rsidRPr="005E7E4A">
        <w:rPr>
          <w:szCs w:val="22"/>
        </w:rPr>
        <w:t xml:space="preserve"> </w:t>
      </w:r>
    </w:p>
    <w:p w14:paraId="2963CD6F" w14:textId="77777777" w:rsidR="003B0A79" w:rsidRPr="005E7E4A" w:rsidRDefault="003B0A79" w:rsidP="003B0A79">
      <w:pPr>
        <w:pStyle w:val="Standard"/>
        <w:spacing w:after="0" w:line="276" w:lineRule="auto"/>
        <w:rPr>
          <w:rFonts w:ascii="Arial" w:eastAsia="Times New Roman" w:hAnsi="Arial" w:cs="Arial"/>
          <w:kern w:val="0"/>
          <w:lang w:eastAsia="cs-CZ"/>
        </w:rPr>
      </w:pPr>
      <w:r w:rsidRPr="005E7E4A">
        <w:rPr>
          <w:rFonts w:ascii="Arial" w:eastAsia="Times New Roman" w:hAnsi="Arial" w:cs="Arial"/>
          <w:kern w:val="0"/>
          <w:lang w:eastAsia="cs-CZ"/>
        </w:rPr>
        <w:t>zastoupen</w:t>
      </w:r>
      <w:r>
        <w:rPr>
          <w:rFonts w:ascii="Arial" w:eastAsia="Times New Roman" w:hAnsi="Arial" w:cs="Arial"/>
          <w:kern w:val="0"/>
          <w:lang w:eastAsia="cs-CZ"/>
        </w:rPr>
        <w:t>ý</w:t>
      </w:r>
      <w:r w:rsidRPr="005E7E4A">
        <w:rPr>
          <w:rFonts w:ascii="Arial" w:eastAsia="Times New Roman" w:hAnsi="Arial" w:cs="Arial"/>
          <w:kern w:val="0"/>
          <w:lang w:eastAsia="cs-CZ"/>
        </w:rPr>
        <w:t xml:space="preserve">:              </w:t>
      </w:r>
      <w:r w:rsidRPr="005E7E4A">
        <w:rPr>
          <w:rFonts w:ascii="Arial" w:eastAsia="Times New Roman" w:hAnsi="Arial" w:cs="Arial"/>
          <w:kern w:val="0"/>
          <w:lang w:eastAsia="cs-CZ"/>
        </w:rPr>
        <w:tab/>
        <w:t xml:space="preserve">         </w:t>
      </w:r>
      <w:r w:rsidRPr="005E7E4A">
        <w:rPr>
          <w:rFonts w:ascii="Arial" w:eastAsia="Times New Roman" w:hAnsi="Arial" w:cs="Arial"/>
          <w:kern w:val="0"/>
          <w:lang w:eastAsia="cs-CZ"/>
        </w:rPr>
        <w:tab/>
        <w:t xml:space="preserve">Mgr. Jan Čižinský, </w:t>
      </w:r>
      <w:r>
        <w:rPr>
          <w:rFonts w:ascii="Arial" w:eastAsia="Times New Roman" w:hAnsi="Arial" w:cs="Arial"/>
          <w:kern w:val="0"/>
          <w:lang w:eastAsia="cs-CZ"/>
        </w:rPr>
        <w:t>starosta</w:t>
      </w:r>
    </w:p>
    <w:p w14:paraId="74CCD730" w14:textId="77777777" w:rsidR="003B0A79" w:rsidRPr="005E7E4A" w:rsidRDefault="003B0A79" w:rsidP="003B0A79">
      <w:pPr>
        <w:jc w:val="both"/>
        <w:rPr>
          <w:szCs w:val="22"/>
        </w:rPr>
      </w:pPr>
      <w:r w:rsidRPr="005E7E4A">
        <w:rPr>
          <w:szCs w:val="22"/>
        </w:rPr>
        <w:t>sídlo:</w:t>
      </w:r>
      <w:r w:rsidRPr="005E7E4A">
        <w:rPr>
          <w:szCs w:val="22"/>
        </w:rPr>
        <w:tab/>
      </w:r>
      <w:r w:rsidRPr="005E7E4A">
        <w:rPr>
          <w:szCs w:val="22"/>
        </w:rPr>
        <w:tab/>
      </w:r>
      <w:r w:rsidRPr="005E7E4A">
        <w:rPr>
          <w:szCs w:val="22"/>
        </w:rPr>
        <w:tab/>
        <w:t xml:space="preserve">         </w:t>
      </w:r>
      <w:r w:rsidRPr="005E7E4A">
        <w:rPr>
          <w:szCs w:val="22"/>
        </w:rPr>
        <w:tab/>
        <w:t xml:space="preserve">U Průhonu 1338/38, </w:t>
      </w:r>
      <w:r w:rsidRPr="005E7E4A">
        <w:rPr>
          <w:color w:val="000000"/>
          <w:szCs w:val="22"/>
        </w:rPr>
        <w:t>170 00, Praha 7 - Holešovice</w:t>
      </w:r>
    </w:p>
    <w:p w14:paraId="716851A8" w14:textId="77777777" w:rsidR="003B0A79" w:rsidRPr="005E7E4A" w:rsidRDefault="003B0A79" w:rsidP="003B0A79">
      <w:pPr>
        <w:spacing w:line="240" w:lineRule="exact"/>
        <w:jc w:val="both"/>
        <w:rPr>
          <w:szCs w:val="22"/>
        </w:rPr>
      </w:pPr>
      <w:r w:rsidRPr="005E7E4A">
        <w:rPr>
          <w:szCs w:val="22"/>
        </w:rPr>
        <w:t xml:space="preserve">IČO:                                     </w:t>
      </w:r>
      <w:r w:rsidRPr="005E7E4A">
        <w:rPr>
          <w:szCs w:val="22"/>
        </w:rPr>
        <w:tab/>
        <w:t>00063754</w:t>
      </w:r>
    </w:p>
    <w:p w14:paraId="4A1198BC" w14:textId="77777777" w:rsidR="003B0A79" w:rsidRPr="00750455" w:rsidRDefault="003B0A79" w:rsidP="003B0A79">
      <w:pPr>
        <w:spacing w:line="240" w:lineRule="exact"/>
        <w:jc w:val="both"/>
        <w:rPr>
          <w:szCs w:val="22"/>
        </w:rPr>
      </w:pPr>
      <w:r>
        <w:rPr>
          <w:szCs w:val="22"/>
        </w:rPr>
        <w:t>DIČ:                                       CZ00063754</w:t>
      </w:r>
    </w:p>
    <w:p w14:paraId="201D4422" w14:textId="77777777" w:rsidR="003B0A79" w:rsidRPr="00A96A1B" w:rsidRDefault="003B0A79" w:rsidP="003B0A79">
      <w:pPr>
        <w:spacing w:line="240" w:lineRule="exact"/>
        <w:jc w:val="both"/>
        <w:rPr>
          <w:szCs w:val="22"/>
        </w:rPr>
      </w:pPr>
      <w:r w:rsidRPr="00A96A1B">
        <w:rPr>
          <w:szCs w:val="22"/>
        </w:rPr>
        <w:t xml:space="preserve">bankovní spojení:    </w:t>
      </w:r>
      <w:r w:rsidRPr="00A96A1B">
        <w:rPr>
          <w:szCs w:val="22"/>
        </w:rPr>
        <w:tab/>
        <w:t xml:space="preserve">         </w:t>
      </w:r>
      <w:r>
        <w:rPr>
          <w:szCs w:val="22"/>
        </w:rPr>
        <w:tab/>
      </w:r>
      <w:r w:rsidRPr="00A96A1B">
        <w:rPr>
          <w:szCs w:val="22"/>
        </w:rPr>
        <w:t>Česká spořitelna</w:t>
      </w:r>
      <w:r>
        <w:rPr>
          <w:szCs w:val="22"/>
        </w:rPr>
        <w:t>,</w:t>
      </w:r>
      <w:r w:rsidRPr="00A96A1B">
        <w:rPr>
          <w:szCs w:val="22"/>
        </w:rPr>
        <w:t xml:space="preserve"> a.s.</w:t>
      </w:r>
    </w:p>
    <w:p w14:paraId="1DCB8C0B" w14:textId="462FC13A" w:rsidR="003B0A79" w:rsidRPr="005E7E4A" w:rsidRDefault="003B0A79" w:rsidP="003B0A79">
      <w:pPr>
        <w:spacing w:line="240" w:lineRule="exact"/>
        <w:jc w:val="both"/>
        <w:rPr>
          <w:szCs w:val="22"/>
        </w:rPr>
      </w:pPr>
      <w:r w:rsidRPr="00A96A1B">
        <w:rPr>
          <w:szCs w:val="22"/>
        </w:rPr>
        <w:t xml:space="preserve">číslo účtu:                            </w:t>
      </w:r>
      <w:r>
        <w:rPr>
          <w:szCs w:val="22"/>
        </w:rPr>
        <w:tab/>
      </w:r>
      <w:r w:rsidRPr="005E7E4A">
        <w:rPr>
          <w:szCs w:val="22"/>
        </w:rPr>
        <w:t xml:space="preserve"> </w:t>
      </w:r>
    </w:p>
    <w:p w14:paraId="24C8449C" w14:textId="2BD5DA98" w:rsidR="003B0A79" w:rsidRPr="005E7E4A" w:rsidRDefault="003B0A79" w:rsidP="003B0A79">
      <w:pPr>
        <w:spacing w:line="240" w:lineRule="exact"/>
        <w:jc w:val="both"/>
        <w:rPr>
          <w:szCs w:val="22"/>
        </w:rPr>
      </w:pPr>
      <w:r w:rsidRPr="005E7E4A">
        <w:rPr>
          <w:szCs w:val="22"/>
        </w:rPr>
        <w:t xml:space="preserve">telefon:                                </w:t>
      </w:r>
      <w:r w:rsidRPr="005E7E4A">
        <w:rPr>
          <w:szCs w:val="22"/>
        </w:rPr>
        <w:tab/>
      </w:r>
    </w:p>
    <w:p w14:paraId="31FCDA82" w14:textId="1A82ED49" w:rsidR="003B0A79" w:rsidRPr="005E7E4A" w:rsidRDefault="003B0A79" w:rsidP="003B0A79">
      <w:pPr>
        <w:autoSpaceDE w:val="0"/>
        <w:autoSpaceDN w:val="0"/>
        <w:adjustRightInd w:val="0"/>
        <w:rPr>
          <w:szCs w:val="22"/>
        </w:rPr>
      </w:pPr>
      <w:r w:rsidRPr="005E7E4A">
        <w:rPr>
          <w:szCs w:val="22"/>
        </w:rPr>
        <w:t>e-mail:</w:t>
      </w:r>
      <w:r w:rsidRPr="005E7E4A">
        <w:rPr>
          <w:szCs w:val="22"/>
        </w:rPr>
        <w:tab/>
      </w:r>
      <w:r w:rsidRPr="005E7E4A">
        <w:rPr>
          <w:szCs w:val="22"/>
        </w:rPr>
        <w:tab/>
      </w:r>
      <w:r w:rsidRPr="005E7E4A">
        <w:rPr>
          <w:szCs w:val="22"/>
        </w:rPr>
        <w:tab/>
      </w:r>
      <w:r w:rsidRPr="005E7E4A">
        <w:rPr>
          <w:szCs w:val="22"/>
        </w:rPr>
        <w:tab/>
      </w:r>
    </w:p>
    <w:p w14:paraId="4C576BCB" w14:textId="77777777" w:rsidR="003B0A79" w:rsidRPr="00360E0B" w:rsidRDefault="003B0A79" w:rsidP="003B0A79">
      <w:pPr>
        <w:autoSpaceDE w:val="0"/>
        <w:autoSpaceDN w:val="0"/>
        <w:adjustRightInd w:val="0"/>
        <w:ind w:firstLine="708"/>
        <w:rPr>
          <w:i/>
          <w:szCs w:val="22"/>
        </w:rPr>
      </w:pPr>
      <w:r w:rsidRPr="00360E0B">
        <w:rPr>
          <w:i/>
          <w:szCs w:val="22"/>
        </w:rPr>
        <w:t>(dále jako „</w:t>
      </w:r>
      <w:r>
        <w:rPr>
          <w:i/>
          <w:szCs w:val="22"/>
        </w:rPr>
        <w:t>Objednatel</w:t>
      </w:r>
      <w:r w:rsidRPr="00360E0B">
        <w:rPr>
          <w:i/>
          <w:szCs w:val="22"/>
        </w:rPr>
        <w:t>“)</w:t>
      </w:r>
    </w:p>
    <w:p w14:paraId="50CF17EC" w14:textId="77777777" w:rsidR="003B0A79" w:rsidRDefault="003B0A79" w:rsidP="003B0A79">
      <w:pPr>
        <w:spacing w:line="240" w:lineRule="exact"/>
        <w:jc w:val="both"/>
        <w:rPr>
          <w:b/>
          <w:szCs w:val="22"/>
        </w:rPr>
      </w:pPr>
    </w:p>
    <w:p w14:paraId="33D59605" w14:textId="77777777" w:rsidR="003B0A79" w:rsidRDefault="003B0A79" w:rsidP="003B0A79">
      <w:pPr>
        <w:spacing w:line="240" w:lineRule="exact"/>
        <w:jc w:val="both"/>
        <w:rPr>
          <w:b/>
          <w:szCs w:val="22"/>
        </w:rPr>
      </w:pPr>
      <w:r>
        <w:rPr>
          <w:b/>
          <w:szCs w:val="22"/>
        </w:rPr>
        <w:t>a</w:t>
      </w:r>
    </w:p>
    <w:p w14:paraId="23E91D21" w14:textId="77777777" w:rsidR="003B0A79" w:rsidRDefault="003B0A79" w:rsidP="003B0A79">
      <w:pPr>
        <w:spacing w:line="240" w:lineRule="exact"/>
        <w:jc w:val="both"/>
        <w:rPr>
          <w:b/>
          <w:szCs w:val="22"/>
        </w:rPr>
      </w:pPr>
    </w:p>
    <w:p w14:paraId="0DEC16F5" w14:textId="77777777" w:rsidR="00DD346D" w:rsidRPr="00DD346D" w:rsidRDefault="00DD346D" w:rsidP="00DD346D">
      <w:pPr>
        <w:spacing w:line="240" w:lineRule="exact"/>
        <w:jc w:val="both"/>
        <w:rPr>
          <w:b/>
          <w:szCs w:val="22"/>
        </w:rPr>
      </w:pPr>
      <w:r w:rsidRPr="008870C0">
        <w:rPr>
          <w:szCs w:val="22"/>
        </w:rPr>
        <w:t>Zhotovitel:</w:t>
      </w:r>
      <w:r w:rsidRPr="00DD346D">
        <w:rPr>
          <w:b/>
          <w:szCs w:val="22"/>
        </w:rPr>
        <w:tab/>
      </w:r>
      <w:r w:rsidRPr="00DD346D">
        <w:rPr>
          <w:b/>
          <w:szCs w:val="22"/>
        </w:rPr>
        <w:tab/>
      </w:r>
      <w:r w:rsidRPr="00DD346D">
        <w:rPr>
          <w:b/>
          <w:szCs w:val="22"/>
        </w:rPr>
        <w:tab/>
        <w:t>Apropos Architects s.r.o.</w:t>
      </w:r>
      <w:r w:rsidRPr="00DD346D">
        <w:rPr>
          <w:b/>
          <w:szCs w:val="22"/>
        </w:rPr>
        <w:tab/>
      </w:r>
      <w:r w:rsidRPr="00DD346D">
        <w:rPr>
          <w:b/>
          <w:szCs w:val="22"/>
        </w:rPr>
        <w:tab/>
      </w:r>
      <w:r w:rsidRPr="00DD346D">
        <w:rPr>
          <w:b/>
          <w:szCs w:val="22"/>
        </w:rPr>
        <w:tab/>
      </w:r>
      <w:r w:rsidRPr="00DD346D">
        <w:rPr>
          <w:b/>
          <w:szCs w:val="22"/>
        </w:rPr>
        <w:tab/>
      </w:r>
    </w:p>
    <w:p w14:paraId="353976B8" w14:textId="29F7363E" w:rsidR="00DD346D" w:rsidRPr="00DD346D" w:rsidRDefault="00DD346D" w:rsidP="00DD346D">
      <w:pPr>
        <w:spacing w:line="240" w:lineRule="exact"/>
        <w:jc w:val="both"/>
        <w:rPr>
          <w:b/>
          <w:szCs w:val="22"/>
        </w:rPr>
      </w:pPr>
      <w:r w:rsidRPr="008870C0">
        <w:rPr>
          <w:szCs w:val="22"/>
        </w:rPr>
        <w:t>zastoupený:</w:t>
      </w:r>
      <w:r w:rsidRPr="00DD346D">
        <w:rPr>
          <w:b/>
          <w:szCs w:val="22"/>
        </w:rPr>
        <w:t xml:space="preserve"> </w:t>
      </w:r>
      <w:r w:rsidRPr="00DD346D">
        <w:rPr>
          <w:b/>
          <w:szCs w:val="22"/>
        </w:rPr>
        <w:tab/>
      </w:r>
      <w:r w:rsidRPr="00DD346D">
        <w:rPr>
          <w:b/>
          <w:szCs w:val="22"/>
        </w:rPr>
        <w:tab/>
      </w:r>
      <w:r w:rsidRPr="00DD346D">
        <w:rPr>
          <w:b/>
          <w:szCs w:val="22"/>
        </w:rPr>
        <w:tab/>
      </w:r>
      <w:r w:rsidRPr="008870C0">
        <w:rPr>
          <w:szCs w:val="22"/>
        </w:rPr>
        <w:t>Ing. arch. Michal Gabaš,</w:t>
      </w:r>
      <w:r w:rsidR="006F16BB">
        <w:rPr>
          <w:szCs w:val="22"/>
        </w:rPr>
        <w:t xml:space="preserve"> jednatel</w:t>
      </w:r>
      <w:r w:rsidRPr="00DD346D">
        <w:rPr>
          <w:b/>
          <w:szCs w:val="22"/>
        </w:rPr>
        <w:tab/>
      </w:r>
    </w:p>
    <w:p w14:paraId="788C2FC8" w14:textId="77777777" w:rsidR="00DD346D" w:rsidRPr="00DD346D" w:rsidRDefault="00DD346D" w:rsidP="00DD346D">
      <w:pPr>
        <w:spacing w:line="240" w:lineRule="exact"/>
        <w:jc w:val="both"/>
        <w:rPr>
          <w:b/>
          <w:szCs w:val="22"/>
        </w:rPr>
      </w:pPr>
      <w:r w:rsidRPr="008870C0">
        <w:rPr>
          <w:szCs w:val="22"/>
        </w:rPr>
        <w:t>sídlo/místo podnikání:</w:t>
      </w:r>
      <w:r w:rsidRPr="00DD346D">
        <w:rPr>
          <w:b/>
          <w:szCs w:val="22"/>
        </w:rPr>
        <w:tab/>
      </w:r>
      <w:r w:rsidRPr="00DD346D">
        <w:rPr>
          <w:szCs w:val="22"/>
        </w:rPr>
        <w:t>Pardubická 878, Chrudim IV, 537 01 Chrudim</w:t>
      </w:r>
    </w:p>
    <w:p w14:paraId="3511FBAD" w14:textId="0D258719" w:rsidR="00DD346D" w:rsidRPr="00DD346D" w:rsidRDefault="00DD346D" w:rsidP="00DD346D">
      <w:pPr>
        <w:spacing w:line="240" w:lineRule="exact"/>
        <w:jc w:val="both"/>
        <w:rPr>
          <w:b/>
          <w:szCs w:val="22"/>
        </w:rPr>
      </w:pPr>
      <w:r w:rsidRPr="008870C0">
        <w:rPr>
          <w:szCs w:val="22"/>
        </w:rPr>
        <w:t>kancelář:</w:t>
      </w:r>
      <w:r w:rsidRPr="00DD346D">
        <w:rPr>
          <w:b/>
          <w:szCs w:val="22"/>
        </w:rPr>
        <w:t xml:space="preserve"> </w:t>
      </w:r>
      <w:r>
        <w:rPr>
          <w:b/>
          <w:szCs w:val="22"/>
        </w:rPr>
        <w:tab/>
      </w:r>
      <w:r>
        <w:rPr>
          <w:b/>
          <w:szCs w:val="22"/>
        </w:rPr>
        <w:tab/>
      </w:r>
      <w:r>
        <w:rPr>
          <w:b/>
          <w:szCs w:val="22"/>
        </w:rPr>
        <w:tab/>
      </w:r>
      <w:r w:rsidRPr="00DD346D">
        <w:rPr>
          <w:szCs w:val="22"/>
        </w:rPr>
        <w:t>Sochařská 333/2, 170 00, Praha 7 - Bubeneč</w:t>
      </w:r>
    </w:p>
    <w:p w14:paraId="0DF0E49B" w14:textId="77777777" w:rsidR="00DD346D" w:rsidRPr="00DD346D" w:rsidRDefault="00DD346D" w:rsidP="00DD346D">
      <w:pPr>
        <w:spacing w:line="240" w:lineRule="exact"/>
        <w:jc w:val="both"/>
        <w:rPr>
          <w:b/>
          <w:szCs w:val="22"/>
        </w:rPr>
      </w:pPr>
      <w:r w:rsidRPr="008870C0">
        <w:rPr>
          <w:szCs w:val="22"/>
        </w:rPr>
        <w:t>IČO:</w:t>
      </w:r>
      <w:r w:rsidRPr="008870C0">
        <w:rPr>
          <w:szCs w:val="22"/>
        </w:rPr>
        <w:tab/>
      </w:r>
      <w:r w:rsidRPr="00DD346D">
        <w:rPr>
          <w:b/>
          <w:szCs w:val="22"/>
        </w:rPr>
        <w:tab/>
      </w:r>
      <w:r w:rsidRPr="00DD346D">
        <w:rPr>
          <w:b/>
          <w:szCs w:val="22"/>
        </w:rPr>
        <w:tab/>
      </w:r>
      <w:r w:rsidRPr="00DD346D">
        <w:rPr>
          <w:b/>
          <w:szCs w:val="22"/>
        </w:rPr>
        <w:tab/>
      </w:r>
      <w:r w:rsidRPr="00DD346D">
        <w:rPr>
          <w:szCs w:val="22"/>
        </w:rPr>
        <w:t>054 10 509</w:t>
      </w:r>
    </w:p>
    <w:p w14:paraId="6D7ED018" w14:textId="77777777" w:rsidR="00DD346D" w:rsidRPr="00DD346D" w:rsidRDefault="00DD346D" w:rsidP="00DD346D">
      <w:pPr>
        <w:spacing w:line="240" w:lineRule="exact"/>
        <w:jc w:val="both"/>
        <w:rPr>
          <w:szCs w:val="22"/>
        </w:rPr>
      </w:pPr>
      <w:r w:rsidRPr="008870C0">
        <w:rPr>
          <w:szCs w:val="22"/>
        </w:rPr>
        <w:t>DIČ:</w:t>
      </w:r>
      <w:r w:rsidRPr="00DD346D">
        <w:rPr>
          <w:b/>
          <w:szCs w:val="22"/>
        </w:rPr>
        <w:tab/>
      </w:r>
      <w:r w:rsidRPr="00DD346D">
        <w:rPr>
          <w:b/>
          <w:szCs w:val="22"/>
        </w:rPr>
        <w:tab/>
      </w:r>
      <w:r w:rsidRPr="00DD346D">
        <w:rPr>
          <w:b/>
          <w:szCs w:val="22"/>
        </w:rPr>
        <w:tab/>
      </w:r>
      <w:r w:rsidRPr="00DD346D">
        <w:rPr>
          <w:b/>
          <w:szCs w:val="22"/>
        </w:rPr>
        <w:tab/>
      </w:r>
      <w:r w:rsidRPr="00DD346D">
        <w:rPr>
          <w:szCs w:val="22"/>
        </w:rPr>
        <w:t>CZ05410509</w:t>
      </w:r>
    </w:p>
    <w:p w14:paraId="350214FE" w14:textId="77777777" w:rsidR="00DD346D" w:rsidRPr="00DD346D" w:rsidRDefault="00DD346D" w:rsidP="00DD346D">
      <w:pPr>
        <w:spacing w:line="240" w:lineRule="exact"/>
        <w:jc w:val="both"/>
        <w:rPr>
          <w:szCs w:val="22"/>
        </w:rPr>
      </w:pPr>
      <w:r w:rsidRPr="00DD346D">
        <w:rPr>
          <w:szCs w:val="22"/>
        </w:rPr>
        <w:t>zapsaný v Obchodním rejstříku vedeném u Krajského soudu v Hradci Králové oddíl C vložka 37757.</w:t>
      </w:r>
    </w:p>
    <w:p w14:paraId="2BEC19E2" w14:textId="0E42CD2A" w:rsidR="00DD346D" w:rsidRPr="008870C0" w:rsidRDefault="00DD346D" w:rsidP="00E51AAD">
      <w:pPr>
        <w:spacing w:line="240" w:lineRule="exact"/>
        <w:jc w:val="both"/>
        <w:rPr>
          <w:szCs w:val="22"/>
        </w:rPr>
      </w:pPr>
      <w:r w:rsidRPr="008870C0">
        <w:rPr>
          <w:szCs w:val="22"/>
        </w:rPr>
        <w:t>bankovní spojení:</w:t>
      </w:r>
      <w:r w:rsidRPr="008870C0">
        <w:rPr>
          <w:szCs w:val="22"/>
        </w:rPr>
        <w:tab/>
      </w:r>
      <w:r w:rsidRPr="008870C0">
        <w:rPr>
          <w:szCs w:val="22"/>
        </w:rPr>
        <w:tab/>
        <w:t xml:space="preserve">FIO BANKA, a.s. </w:t>
      </w:r>
    </w:p>
    <w:p w14:paraId="1BA9C321" w14:textId="2A6A82A3" w:rsidR="00DD346D" w:rsidRPr="008870C0" w:rsidRDefault="00DD346D" w:rsidP="00DD346D">
      <w:pPr>
        <w:spacing w:line="240" w:lineRule="exact"/>
        <w:jc w:val="both"/>
        <w:rPr>
          <w:szCs w:val="22"/>
        </w:rPr>
      </w:pPr>
      <w:r w:rsidRPr="008870C0">
        <w:rPr>
          <w:szCs w:val="22"/>
        </w:rPr>
        <w:t>č</w:t>
      </w:r>
      <w:r w:rsidR="00E51AAD">
        <w:rPr>
          <w:szCs w:val="22"/>
        </w:rPr>
        <w:t>íslo účtu:</w:t>
      </w:r>
      <w:r w:rsidR="00E51AAD">
        <w:rPr>
          <w:szCs w:val="22"/>
        </w:rPr>
        <w:tab/>
      </w:r>
      <w:r w:rsidR="00E51AAD">
        <w:rPr>
          <w:szCs w:val="22"/>
        </w:rPr>
        <w:tab/>
      </w:r>
      <w:r w:rsidR="00E51AAD">
        <w:rPr>
          <w:szCs w:val="22"/>
        </w:rPr>
        <w:tab/>
      </w:r>
    </w:p>
    <w:p w14:paraId="5AAF7C2A" w14:textId="7DEDE4AB" w:rsidR="00DD346D" w:rsidRPr="008870C0" w:rsidRDefault="00DD346D" w:rsidP="00DD346D">
      <w:pPr>
        <w:spacing w:line="240" w:lineRule="exact"/>
        <w:jc w:val="both"/>
        <w:rPr>
          <w:szCs w:val="22"/>
        </w:rPr>
      </w:pPr>
      <w:r w:rsidRPr="008870C0">
        <w:rPr>
          <w:szCs w:val="22"/>
        </w:rPr>
        <w:t>telefon:</w:t>
      </w:r>
      <w:r w:rsidRPr="008870C0">
        <w:rPr>
          <w:szCs w:val="22"/>
        </w:rPr>
        <w:tab/>
      </w:r>
      <w:r w:rsidRPr="008870C0">
        <w:rPr>
          <w:szCs w:val="22"/>
        </w:rPr>
        <w:tab/>
      </w:r>
      <w:r w:rsidRPr="008870C0">
        <w:rPr>
          <w:szCs w:val="22"/>
        </w:rPr>
        <w:tab/>
        <w:t xml:space="preserve"> </w:t>
      </w:r>
    </w:p>
    <w:p w14:paraId="193B336C" w14:textId="311496E7" w:rsidR="00DD346D" w:rsidRPr="008870C0" w:rsidRDefault="00DD346D" w:rsidP="00DD346D">
      <w:pPr>
        <w:spacing w:line="240" w:lineRule="exact"/>
        <w:jc w:val="both"/>
        <w:rPr>
          <w:szCs w:val="22"/>
        </w:rPr>
      </w:pPr>
      <w:r w:rsidRPr="008870C0">
        <w:rPr>
          <w:szCs w:val="22"/>
        </w:rPr>
        <w:t>e-mail:</w:t>
      </w:r>
      <w:r w:rsidRPr="008870C0">
        <w:rPr>
          <w:szCs w:val="22"/>
        </w:rPr>
        <w:tab/>
      </w:r>
      <w:r w:rsidRPr="008870C0">
        <w:rPr>
          <w:szCs w:val="22"/>
        </w:rPr>
        <w:tab/>
      </w:r>
      <w:r w:rsidRPr="008870C0">
        <w:rPr>
          <w:szCs w:val="22"/>
        </w:rPr>
        <w:tab/>
        <w:t xml:space="preserve"> </w:t>
      </w:r>
      <w:r w:rsidR="008870C0">
        <w:rPr>
          <w:szCs w:val="22"/>
        </w:rPr>
        <w:tab/>
      </w:r>
    </w:p>
    <w:p w14:paraId="0F3079C0" w14:textId="77777777" w:rsidR="00DD346D" w:rsidRPr="00DD346D" w:rsidRDefault="00DD346D" w:rsidP="00DD346D">
      <w:pPr>
        <w:spacing w:line="240" w:lineRule="exact"/>
        <w:ind w:left="709"/>
        <w:jc w:val="both"/>
        <w:rPr>
          <w:i/>
          <w:szCs w:val="22"/>
        </w:rPr>
      </w:pPr>
      <w:r w:rsidRPr="00DD346D">
        <w:rPr>
          <w:i/>
          <w:szCs w:val="22"/>
        </w:rPr>
        <w:t>(dále jako „Zhotovitel“)</w:t>
      </w:r>
    </w:p>
    <w:p w14:paraId="0B3E3D0C" w14:textId="77777777" w:rsidR="00DD346D" w:rsidRDefault="00DD346D" w:rsidP="00DD346D">
      <w:pPr>
        <w:spacing w:line="240" w:lineRule="exact"/>
        <w:ind w:left="709"/>
        <w:jc w:val="both"/>
        <w:rPr>
          <w:i/>
          <w:szCs w:val="22"/>
        </w:rPr>
      </w:pPr>
      <w:r w:rsidRPr="00DD346D">
        <w:rPr>
          <w:i/>
          <w:szCs w:val="22"/>
        </w:rPr>
        <w:t>(dále společně jako „Smluvní strany“)</w:t>
      </w:r>
    </w:p>
    <w:p w14:paraId="074BF89C" w14:textId="3AB3E844" w:rsidR="0061745E" w:rsidRDefault="008C4059" w:rsidP="00A95B06">
      <w:pPr>
        <w:pStyle w:val="Zkladntext2"/>
        <w:pBdr>
          <w:top w:val="single" w:sz="4" w:space="0" w:color="auto"/>
          <w:bottom w:val="single" w:sz="4" w:space="1" w:color="auto"/>
        </w:pBdr>
        <w:spacing w:before="240" w:line="276" w:lineRule="auto"/>
        <w:jc w:val="both"/>
        <w:rPr>
          <w:szCs w:val="22"/>
        </w:rPr>
      </w:pPr>
      <w:r>
        <w:rPr>
          <w:szCs w:val="22"/>
        </w:rPr>
        <w:t xml:space="preserve">Dodatek </w:t>
      </w:r>
      <w:r w:rsidR="002A29C1">
        <w:rPr>
          <w:szCs w:val="22"/>
        </w:rPr>
        <w:t>č. 1</w:t>
      </w:r>
      <w:r w:rsidR="0061745E">
        <w:rPr>
          <w:szCs w:val="22"/>
        </w:rPr>
        <w:t xml:space="preserve"> </w:t>
      </w:r>
      <w:r w:rsidR="00272EE2">
        <w:rPr>
          <w:szCs w:val="22"/>
        </w:rPr>
        <w:t>ke</w:t>
      </w:r>
      <w:r w:rsidR="00A1678F">
        <w:rPr>
          <w:szCs w:val="22"/>
        </w:rPr>
        <w:t xml:space="preserve"> </w:t>
      </w:r>
      <w:r w:rsidR="00C1667C">
        <w:rPr>
          <w:szCs w:val="22"/>
        </w:rPr>
        <w:t>S</w:t>
      </w:r>
      <w:r w:rsidR="00272EE2">
        <w:rPr>
          <w:szCs w:val="22"/>
        </w:rPr>
        <w:t>mlouvě</w:t>
      </w:r>
      <w:r w:rsidR="00A1678F">
        <w:rPr>
          <w:szCs w:val="22"/>
        </w:rPr>
        <w:t xml:space="preserve"> </w:t>
      </w:r>
      <w:r w:rsidR="00424CF9">
        <w:rPr>
          <w:szCs w:val="22"/>
        </w:rPr>
        <w:t xml:space="preserve">o dílo </w:t>
      </w:r>
      <w:r w:rsidR="00A1678F">
        <w:rPr>
          <w:szCs w:val="22"/>
        </w:rPr>
        <w:t xml:space="preserve">č. </w:t>
      </w:r>
      <w:r w:rsidR="00DD346D" w:rsidRPr="00DD346D">
        <w:rPr>
          <w:szCs w:val="22"/>
        </w:rPr>
        <w:t xml:space="preserve">00186/2023/OIVZ/01 </w:t>
      </w:r>
      <w:r w:rsidR="002A29C1" w:rsidRPr="00647135">
        <w:rPr>
          <w:i/>
          <w:szCs w:val="22"/>
        </w:rPr>
        <w:t>(dále jen „Dodatek č. 1“)</w:t>
      </w:r>
      <w:r w:rsidR="00647135" w:rsidRPr="00647135">
        <w:rPr>
          <w:i/>
          <w:szCs w:val="22"/>
        </w:rPr>
        <w:t xml:space="preserve"> </w:t>
      </w:r>
      <w:r w:rsidR="00A1678F">
        <w:rPr>
          <w:szCs w:val="22"/>
        </w:rPr>
        <w:t>je uzavřen</w:t>
      </w:r>
      <w:r w:rsidR="005A4742">
        <w:rPr>
          <w:szCs w:val="22"/>
        </w:rPr>
        <w:t>ý</w:t>
      </w:r>
      <w:r w:rsidR="00A1678F">
        <w:rPr>
          <w:szCs w:val="22"/>
        </w:rPr>
        <w:t xml:space="preserve"> na základě rozhodnutí Rady MČ Praha 7 č. </w:t>
      </w:r>
      <w:r w:rsidR="00A1678F" w:rsidRPr="00F95092">
        <w:rPr>
          <w:szCs w:val="22"/>
        </w:rPr>
        <w:t xml:space="preserve">usnesení </w:t>
      </w:r>
      <w:r w:rsidR="00AD6C40">
        <w:rPr>
          <w:szCs w:val="22"/>
        </w:rPr>
        <w:t>416</w:t>
      </w:r>
      <w:r w:rsidR="007B3747">
        <w:rPr>
          <w:szCs w:val="22"/>
        </w:rPr>
        <w:t>/2</w:t>
      </w:r>
      <w:r w:rsidR="00A95B06">
        <w:rPr>
          <w:szCs w:val="22"/>
        </w:rPr>
        <w:t>5</w:t>
      </w:r>
      <w:r w:rsidR="00A1678F" w:rsidRPr="00F95092">
        <w:rPr>
          <w:szCs w:val="22"/>
        </w:rPr>
        <w:t xml:space="preserve">-R z jednání č. </w:t>
      </w:r>
      <w:r w:rsidR="00AD6C40">
        <w:rPr>
          <w:szCs w:val="22"/>
        </w:rPr>
        <w:t>39</w:t>
      </w:r>
      <w:r w:rsidR="00A1678F">
        <w:rPr>
          <w:szCs w:val="22"/>
        </w:rPr>
        <w:t xml:space="preserve"> </w:t>
      </w:r>
      <w:r w:rsidR="00A1678F" w:rsidRPr="00F95092">
        <w:rPr>
          <w:szCs w:val="22"/>
        </w:rPr>
        <w:t xml:space="preserve">ze dne </w:t>
      </w:r>
      <w:r w:rsidR="00AD6C40">
        <w:rPr>
          <w:szCs w:val="22"/>
        </w:rPr>
        <w:t xml:space="preserve">24. 7. </w:t>
      </w:r>
      <w:r w:rsidR="00A95B06">
        <w:rPr>
          <w:szCs w:val="22"/>
        </w:rPr>
        <w:t>2025</w:t>
      </w:r>
      <w:r w:rsidR="00A1678F" w:rsidRPr="00F95092">
        <w:rPr>
          <w:szCs w:val="22"/>
        </w:rPr>
        <w:t>.</w:t>
      </w:r>
      <w:r w:rsidR="00A1678F">
        <w:rPr>
          <w:szCs w:val="22"/>
        </w:rPr>
        <w:t xml:space="preserve"> </w:t>
      </w:r>
    </w:p>
    <w:p w14:paraId="344E4888" w14:textId="77777777" w:rsidR="008942CC" w:rsidRDefault="008942CC" w:rsidP="00BB0541">
      <w:pPr>
        <w:pStyle w:val="Default"/>
        <w:jc w:val="both"/>
        <w:rPr>
          <w:rFonts w:ascii="Arial" w:hAnsi="Arial" w:cs="Arial"/>
          <w:color w:val="auto"/>
          <w:sz w:val="22"/>
          <w:szCs w:val="22"/>
          <w:lang w:eastAsia="zh-CN"/>
        </w:rPr>
      </w:pPr>
    </w:p>
    <w:p w14:paraId="2B84783C" w14:textId="39266D21" w:rsidR="00B131B4" w:rsidRPr="008870C0" w:rsidRDefault="00B52C79" w:rsidP="00BB0541">
      <w:pPr>
        <w:pStyle w:val="Default"/>
        <w:jc w:val="both"/>
        <w:rPr>
          <w:rFonts w:ascii="Arial" w:hAnsi="Arial" w:cs="Arial"/>
          <w:sz w:val="22"/>
          <w:szCs w:val="20"/>
        </w:rPr>
      </w:pPr>
      <w:r w:rsidRPr="008870C0">
        <w:rPr>
          <w:rFonts w:ascii="Arial" w:hAnsi="Arial" w:cs="Arial"/>
          <w:color w:val="auto"/>
          <w:sz w:val="22"/>
          <w:szCs w:val="20"/>
          <w:lang w:eastAsia="zh-CN"/>
        </w:rPr>
        <w:t xml:space="preserve">Smluvní strany se, </w:t>
      </w:r>
      <w:r w:rsidR="00272EE2" w:rsidRPr="008870C0">
        <w:rPr>
          <w:rFonts w:ascii="Arial" w:hAnsi="Arial" w:cs="Arial"/>
          <w:color w:val="auto"/>
          <w:sz w:val="22"/>
          <w:szCs w:val="20"/>
          <w:lang w:eastAsia="zh-CN"/>
        </w:rPr>
        <w:t>v souladu s</w:t>
      </w:r>
      <w:r w:rsidR="008942CC" w:rsidRPr="008870C0">
        <w:rPr>
          <w:rFonts w:ascii="Arial" w:hAnsi="Arial" w:cs="Arial"/>
          <w:color w:val="auto"/>
          <w:sz w:val="22"/>
          <w:szCs w:val="20"/>
          <w:lang w:eastAsia="zh-CN"/>
        </w:rPr>
        <w:t xml:space="preserve"> </w:t>
      </w:r>
      <w:r w:rsidR="00113321" w:rsidRPr="008870C0">
        <w:rPr>
          <w:rFonts w:ascii="Arial" w:hAnsi="Arial" w:cs="Arial"/>
          <w:color w:val="auto"/>
          <w:sz w:val="22"/>
          <w:szCs w:val="20"/>
          <w:lang w:eastAsia="zh-CN"/>
        </w:rPr>
        <w:t>§ 222</w:t>
      </w:r>
      <w:r w:rsidR="008942CC" w:rsidRPr="008870C0">
        <w:rPr>
          <w:rFonts w:ascii="Arial" w:hAnsi="Arial" w:cs="Arial"/>
          <w:color w:val="auto"/>
          <w:sz w:val="22"/>
          <w:szCs w:val="20"/>
          <w:lang w:eastAsia="zh-CN"/>
        </w:rPr>
        <w:t xml:space="preserve"> zákona č. 134/2016 Sb., o zadávání veřejných zakázek, v platném znění </w:t>
      </w:r>
      <w:r w:rsidR="008942CC" w:rsidRPr="008870C0">
        <w:rPr>
          <w:rFonts w:ascii="Arial" w:hAnsi="Arial" w:cs="Arial"/>
          <w:i/>
          <w:color w:val="auto"/>
          <w:sz w:val="22"/>
          <w:szCs w:val="20"/>
          <w:lang w:eastAsia="zh-CN"/>
        </w:rPr>
        <w:t>(dále jen „ZZVZ“)</w:t>
      </w:r>
      <w:r w:rsidR="00113321" w:rsidRPr="008870C0">
        <w:rPr>
          <w:rFonts w:ascii="Arial" w:hAnsi="Arial" w:cs="Arial"/>
          <w:i/>
          <w:color w:val="auto"/>
          <w:sz w:val="22"/>
          <w:szCs w:val="20"/>
          <w:lang w:eastAsia="zh-CN"/>
        </w:rPr>
        <w:t xml:space="preserve"> </w:t>
      </w:r>
      <w:r w:rsidR="00113321" w:rsidRPr="008870C0">
        <w:rPr>
          <w:rFonts w:ascii="Arial" w:hAnsi="Arial" w:cs="Arial"/>
          <w:color w:val="auto"/>
          <w:sz w:val="22"/>
          <w:szCs w:val="20"/>
          <w:lang w:eastAsia="zh-CN"/>
        </w:rPr>
        <w:t xml:space="preserve">a se zněním </w:t>
      </w:r>
      <w:r w:rsidR="00424CF9" w:rsidRPr="008870C0">
        <w:rPr>
          <w:rFonts w:ascii="Arial" w:hAnsi="Arial" w:cs="Arial"/>
          <w:color w:val="auto"/>
          <w:sz w:val="22"/>
          <w:szCs w:val="20"/>
          <w:lang w:eastAsia="zh-CN"/>
        </w:rPr>
        <w:t xml:space="preserve">čl. XIV. odst. 4 </w:t>
      </w:r>
      <w:r w:rsidR="00272EE2" w:rsidRPr="008870C0">
        <w:rPr>
          <w:rFonts w:ascii="Arial" w:hAnsi="Arial" w:cs="Arial"/>
          <w:color w:val="auto"/>
          <w:sz w:val="22"/>
          <w:szCs w:val="20"/>
          <w:lang w:eastAsia="zh-CN"/>
        </w:rPr>
        <w:t>Smlouvy</w:t>
      </w:r>
      <w:r w:rsidR="00424CF9" w:rsidRPr="008870C0">
        <w:rPr>
          <w:rFonts w:ascii="Arial" w:hAnsi="Arial" w:cs="Arial"/>
          <w:color w:val="auto"/>
          <w:sz w:val="22"/>
          <w:szCs w:val="20"/>
          <w:lang w:eastAsia="zh-CN"/>
        </w:rPr>
        <w:t xml:space="preserve"> o dílo</w:t>
      </w:r>
      <w:r w:rsidR="00272EE2" w:rsidRPr="008870C0">
        <w:rPr>
          <w:rFonts w:ascii="Arial" w:hAnsi="Arial" w:cs="Arial"/>
          <w:color w:val="auto"/>
          <w:sz w:val="22"/>
          <w:szCs w:val="20"/>
          <w:lang w:eastAsia="zh-CN"/>
        </w:rPr>
        <w:t xml:space="preserve"> </w:t>
      </w:r>
      <w:r w:rsidR="00DD346D" w:rsidRPr="008870C0">
        <w:rPr>
          <w:rFonts w:ascii="Arial" w:hAnsi="Arial" w:cs="Arial"/>
          <w:color w:val="auto"/>
          <w:sz w:val="22"/>
          <w:szCs w:val="20"/>
          <w:lang w:eastAsia="zh-CN"/>
        </w:rPr>
        <w:t xml:space="preserve">00186/2023/OIVZ/01 </w:t>
      </w:r>
      <w:r w:rsidR="00DC1FAF" w:rsidRPr="008870C0">
        <w:rPr>
          <w:rFonts w:ascii="Arial" w:hAnsi="Arial" w:cs="Arial"/>
          <w:i/>
          <w:color w:val="auto"/>
          <w:sz w:val="22"/>
          <w:szCs w:val="20"/>
          <w:lang w:eastAsia="zh-CN"/>
        </w:rPr>
        <w:t>(dále jen „Smlouva“)</w:t>
      </w:r>
      <w:r w:rsidR="00DC1FAF" w:rsidRPr="008870C0">
        <w:rPr>
          <w:rFonts w:ascii="Arial" w:hAnsi="Arial" w:cs="Arial"/>
          <w:color w:val="auto"/>
          <w:sz w:val="22"/>
          <w:szCs w:val="20"/>
          <w:lang w:eastAsia="zh-CN"/>
        </w:rPr>
        <w:t xml:space="preserve"> </w:t>
      </w:r>
      <w:r w:rsidR="002E20EE" w:rsidRPr="008870C0">
        <w:rPr>
          <w:rFonts w:ascii="Arial" w:hAnsi="Arial" w:cs="Arial"/>
          <w:color w:val="auto"/>
          <w:sz w:val="22"/>
          <w:szCs w:val="20"/>
          <w:lang w:eastAsia="zh-CN"/>
        </w:rPr>
        <w:t>k realizaci</w:t>
      </w:r>
      <w:r w:rsidR="003B0A79" w:rsidRPr="008870C0">
        <w:rPr>
          <w:rFonts w:ascii="Arial" w:hAnsi="Arial" w:cs="Arial"/>
          <w:color w:val="auto"/>
          <w:sz w:val="22"/>
          <w:szCs w:val="20"/>
          <w:lang w:eastAsia="zh-CN"/>
        </w:rPr>
        <w:t xml:space="preserve"> </w:t>
      </w:r>
      <w:r w:rsidR="00DD346D" w:rsidRPr="008870C0">
        <w:rPr>
          <w:rFonts w:ascii="Arial" w:hAnsi="Arial" w:cs="Arial"/>
          <w:color w:val="auto"/>
          <w:sz w:val="22"/>
          <w:szCs w:val="20"/>
          <w:lang w:eastAsia="zh-CN"/>
        </w:rPr>
        <w:t xml:space="preserve">nadlimitní </w:t>
      </w:r>
      <w:r w:rsidR="003B0A79" w:rsidRPr="008870C0">
        <w:rPr>
          <w:rFonts w:ascii="Arial" w:hAnsi="Arial" w:cs="Arial"/>
          <w:color w:val="auto"/>
          <w:sz w:val="22"/>
          <w:szCs w:val="20"/>
          <w:lang w:eastAsia="zh-CN"/>
        </w:rPr>
        <w:t xml:space="preserve">veřejné zakázky </w:t>
      </w:r>
      <w:r w:rsidR="00DD346D" w:rsidRPr="008870C0">
        <w:rPr>
          <w:rFonts w:ascii="Arial" w:hAnsi="Arial" w:cs="Arial"/>
          <w:i/>
          <w:color w:val="auto"/>
          <w:sz w:val="22"/>
          <w:szCs w:val="20"/>
          <w:lang w:eastAsia="zh-CN"/>
        </w:rPr>
        <w:t>(zadávané v jednacím řízení bez uveřejnění vypsané na základě veřejné soutěže s názvem „Městský dům Za Papírnou“, Praha 7, k. ú. Holešovice a v souladu se zadávací dokumentací veřejné soutěže</w:t>
      </w:r>
      <w:r w:rsidR="00DD346D" w:rsidRPr="008870C0">
        <w:rPr>
          <w:rFonts w:ascii="Arial" w:hAnsi="Arial" w:cs="Arial"/>
          <w:color w:val="auto"/>
          <w:sz w:val="22"/>
          <w:szCs w:val="20"/>
          <w:lang w:eastAsia="zh-CN"/>
        </w:rPr>
        <w:t xml:space="preserve">) </w:t>
      </w:r>
      <w:r w:rsidR="003B0A79" w:rsidRPr="008870C0">
        <w:rPr>
          <w:rFonts w:ascii="Arial" w:hAnsi="Arial" w:cs="Arial"/>
          <w:color w:val="auto"/>
          <w:sz w:val="22"/>
          <w:szCs w:val="20"/>
          <w:lang w:eastAsia="zh-CN"/>
        </w:rPr>
        <w:t>na s</w:t>
      </w:r>
      <w:r w:rsidR="00BB0541" w:rsidRPr="008870C0">
        <w:rPr>
          <w:rFonts w:ascii="Arial" w:hAnsi="Arial" w:cs="Arial"/>
          <w:color w:val="auto"/>
          <w:sz w:val="22"/>
          <w:szCs w:val="20"/>
          <w:lang w:eastAsia="zh-CN"/>
        </w:rPr>
        <w:t>lužby</w:t>
      </w:r>
      <w:r w:rsidR="003B0A79" w:rsidRPr="008870C0">
        <w:rPr>
          <w:rFonts w:ascii="Arial" w:hAnsi="Arial" w:cs="Arial"/>
          <w:color w:val="auto"/>
          <w:sz w:val="22"/>
          <w:szCs w:val="20"/>
          <w:lang w:eastAsia="zh-CN"/>
        </w:rPr>
        <w:t xml:space="preserve"> s názvem </w:t>
      </w:r>
      <w:r w:rsidR="00C03C9B" w:rsidRPr="008870C0">
        <w:rPr>
          <w:rFonts w:ascii="Arial" w:hAnsi="Arial" w:cs="Arial"/>
          <w:b/>
          <w:color w:val="auto"/>
          <w:sz w:val="22"/>
          <w:szCs w:val="20"/>
          <w:lang w:eastAsia="zh-CN"/>
        </w:rPr>
        <w:t>„</w:t>
      </w:r>
      <w:r w:rsidR="00BB0541" w:rsidRPr="008870C0">
        <w:rPr>
          <w:rFonts w:ascii="Arial" w:hAnsi="Arial" w:cs="Arial"/>
          <w:b/>
          <w:color w:val="auto"/>
          <w:sz w:val="22"/>
          <w:szCs w:val="20"/>
          <w:lang w:eastAsia="zh-CN"/>
        </w:rPr>
        <w:t>Projektový management na akci – FRDB – výstavba bytového domu Za Papírnou</w:t>
      </w:r>
      <w:r w:rsidR="003B0A79" w:rsidRPr="008870C0">
        <w:rPr>
          <w:rFonts w:ascii="Arial" w:hAnsi="Arial" w:cs="Arial"/>
          <w:b/>
          <w:color w:val="auto"/>
          <w:sz w:val="22"/>
          <w:szCs w:val="20"/>
          <w:lang w:eastAsia="zh-CN"/>
        </w:rPr>
        <w:t>“</w:t>
      </w:r>
      <w:r w:rsidR="008942CC" w:rsidRPr="008870C0">
        <w:rPr>
          <w:rFonts w:ascii="Arial" w:hAnsi="Arial" w:cs="Arial"/>
          <w:color w:val="auto"/>
          <w:sz w:val="22"/>
          <w:szCs w:val="20"/>
          <w:lang w:eastAsia="zh-CN"/>
        </w:rPr>
        <w:t xml:space="preserve">, </w:t>
      </w:r>
      <w:r w:rsidR="00272EE2" w:rsidRPr="008870C0">
        <w:rPr>
          <w:rFonts w:ascii="Arial" w:hAnsi="Arial" w:cs="Arial"/>
          <w:color w:val="auto"/>
          <w:sz w:val="22"/>
          <w:szCs w:val="20"/>
          <w:lang w:eastAsia="zh-CN"/>
        </w:rPr>
        <w:t xml:space="preserve">dohodly na uzavření tohoto Dodatku č. </w:t>
      </w:r>
      <w:r w:rsidR="002A29C1" w:rsidRPr="008870C0">
        <w:rPr>
          <w:rFonts w:ascii="Arial" w:hAnsi="Arial" w:cs="Arial"/>
          <w:color w:val="auto"/>
          <w:sz w:val="22"/>
          <w:szCs w:val="20"/>
          <w:lang w:eastAsia="zh-CN"/>
        </w:rPr>
        <w:t>1</w:t>
      </w:r>
      <w:r w:rsidR="007208EA" w:rsidRPr="008870C0">
        <w:rPr>
          <w:rFonts w:ascii="Arial" w:hAnsi="Arial" w:cs="Arial"/>
          <w:color w:val="auto"/>
          <w:sz w:val="22"/>
          <w:szCs w:val="20"/>
          <w:lang w:eastAsia="zh-CN"/>
        </w:rPr>
        <w:t>.</w:t>
      </w:r>
      <w:r w:rsidR="000359E6" w:rsidRPr="008870C0">
        <w:rPr>
          <w:rFonts w:ascii="Arial" w:hAnsi="Arial" w:cs="Arial"/>
          <w:color w:val="auto"/>
          <w:sz w:val="22"/>
          <w:szCs w:val="20"/>
          <w:lang w:eastAsia="zh-CN"/>
        </w:rPr>
        <w:t xml:space="preserve"> </w:t>
      </w:r>
      <w:r w:rsidR="00E64D85" w:rsidRPr="008870C0">
        <w:rPr>
          <w:rFonts w:ascii="Arial" w:hAnsi="Arial" w:cs="Arial"/>
          <w:sz w:val="22"/>
          <w:szCs w:val="20"/>
        </w:rPr>
        <w:t xml:space="preserve">Smlouva byla uzavřena dne </w:t>
      </w:r>
      <w:r w:rsidR="00424CF9" w:rsidRPr="008870C0">
        <w:rPr>
          <w:rFonts w:ascii="Arial" w:hAnsi="Arial" w:cs="Arial"/>
          <w:sz w:val="22"/>
          <w:szCs w:val="20"/>
        </w:rPr>
        <w:t>2. 4. 2024</w:t>
      </w:r>
      <w:r w:rsidRPr="008870C0">
        <w:rPr>
          <w:rFonts w:ascii="Arial" w:hAnsi="Arial" w:cs="Arial"/>
          <w:sz w:val="22"/>
          <w:szCs w:val="20"/>
        </w:rPr>
        <w:t xml:space="preserve"> v</w:t>
      </w:r>
      <w:r w:rsidR="00485F8A" w:rsidRPr="008870C0">
        <w:rPr>
          <w:rFonts w:ascii="Arial" w:hAnsi="Arial" w:cs="Arial"/>
          <w:sz w:val="22"/>
          <w:szCs w:val="20"/>
        </w:rPr>
        <w:t xml:space="preserve"> souladu s U</w:t>
      </w:r>
      <w:r w:rsidRPr="008870C0">
        <w:rPr>
          <w:rFonts w:ascii="Arial" w:hAnsi="Arial" w:cs="Arial"/>
          <w:sz w:val="22"/>
          <w:szCs w:val="20"/>
        </w:rPr>
        <w:t>snesením Rady MČ</w:t>
      </w:r>
      <w:r w:rsidR="00A8293C" w:rsidRPr="008870C0">
        <w:rPr>
          <w:rFonts w:ascii="Arial" w:hAnsi="Arial" w:cs="Arial"/>
          <w:sz w:val="22"/>
          <w:szCs w:val="20"/>
        </w:rPr>
        <w:t xml:space="preserve"> P7</w:t>
      </w:r>
      <w:r w:rsidRPr="008870C0">
        <w:rPr>
          <w:rFonts w:ascii="Arial" w:hAnsi="Arial" w:cs="Arial"/>
          <w:sz w:val="22"/>
          <w:szCs w:val="20"/>
        </w:rPr>
        <w:t xml:space="preserve"> č. 0</w:t>
      </w:r>
      <w:r w:rsidR="00424CF9" w:rsidRPr="008870C0">
        <w:rPr>
          <w:rFonts w:ascii="Arial" w:hAnsi="Arial" w:cs="Arial"/>
          <w:sz w:val="22"/>
          <w:szCs w:val="20"/>
        </w:rPr>
        <w:t>172</w:t>
      </w:r>
      <w:r w:rsidRPr="008870C0">
        <w:rPr>
          <w:rFonts w:ascii="Arial" w:hAnsi="Arial" w:cs="Arial"/>
          <w:sz w:val="22"/>
          <w:szCs w:val="20"/>
        </w:rPr>
        <w:t>/</w:t>
      </w:r>
      <w:r w:rsidR="007B3747" w:rsidRPr="008870C0">
        <w:rPr>
          <w:rFonts w:ascii="Arial" w:hAnsi="Arial" w:cs="Arial"/>
          <w:sz w:val="22"/>
          <w:szCs w:val="20"/>
        </w:rPr>
        <w:t>2</w:t>
      </w:r>
      <w:r w:rsidR="00424CF9" w:rsidRPr="008870C0">
        <w:rPr>
          <w:rFonts w:ascii="Arial" w:hAnsi="Arial" w:cs="Arial"/>
          <w:sz w:val="22"/>
          <w:szCs w:val="20"/>
        </w:rPr>
        <w:t>4</w:t>
      </w:r>
      <w:r w:rsidRPr="008870C0">
        <w:rPr>
          <w:rFonts w:ascii="Arial" w:hAnsi="Arial" w:cs="Arial"/>
          <w:sz w:val="22"/>
          <w:szCs w:val="20"/>
        </w:rPr>
        <w:t>-R</w:t>
      </w:r>
      <w:r w:rsidR="00B131B4" w:rsidRPr="008870C0">
        <w:rPr>
          <w:rFonts w:ascii="Arial" w:hAnsi="Arial" w:cs="Arial"/>
          <w:sz w:val="22"/>
          <w:szCs w:val="20"/>
        </w:rPr>
        <w:t>,</w:t>
      </w:r>
      <w:r w:rsidRPr="008870C0">
        <w:rPr>
          <w:rFonts w:ascii="Arial" w:hAnsi="Arial" w:cs="Arial"/>
          <w:sz w:val="22"/>
          <w:szCs w:val="20"/>
        </w:rPr>
        <w:t xml:space="preserve"> z jednání č. </w:t>
      </w:r>
      <w:r w:rsidR="00424CF9" w:rsidRPr="008870C0">
        <w:rPr>
          <w:rFonts w:ascii="Arial" w:hAnsi="Arial" w:cs="Arial"/>
          <w:sz w:val="22"/>
          <w:szCs w:val="20"/>
        </w:rPr>
        <w:t>11</w:t>
      </w:r>
      <w:r w:rsidR="00485F8A" w:rsidRPr="008870C0">
        <w:rPr>
          <w:rFonts w:ascii="Arial" w:hAnsi="Arial" w:cs="Arial"/>
          <w:sz w:val="22"/>
          <w:szCs w:val="20"/>
        </w:rPr>
        <w:t>,</w:t>
      </w:r>
      <w:r w:rsidR="00F25192" w:rsidRPr="008870C0">
        <w:rPr>
          <w:rFonts w:ascii="Arial" w:hAnsi="Arial" w:cs="Arial"/>
          <w:sz w:val="22"/>
          <w:szCs w:val="20"/>
        </w:rPr>
        <w:t xml:space="preserve"> ze </w:t>
      </w:r>
      <w:r w:rsidR="006F7AD9" w:rsidRPr="008870C0">
        <w:rPr>
          <w:rFonts w:ascii="Arial" w:hAnsi="Arial" w:cs="Arial"/>
          <w:sz w:val="22"/>
          <w:szCs w:val="20"/>
        </w:rPr>
        <w:t xml:space="preserve">dne </w:t>
      </w:r>
      <w:r w:rsidR="00424CF9" w:rsidRPr="008870C0">
        <w:rPr>
          <w:rFonts w:ascii="Arial" w:hAnsi="Arial" w:cs="Arial"/>
          <w:sz w:val="22"/>
          <w:szCs w:val="20"/>
        </w:rPr>
        <w:t xml:space="preserve">19. </w:t>
      </w:r>
      <w:r w:rsidR="00BB0541" w:rsidRPr="008870C0">
        <w:rPr>
          <w:rFonts w:ascii="Arial" w:hAnsi="Arial" w:cs="Arial"/>
          <w:sz w:val="22"/>
          <w:szCs w:val="20"/>
        </w:rPr>
        <w:t>3</w:t>
      </w:r>
      <w:r w:rsidRPr="008870C0">
        <w:rPr>
          <w:rFonts w:ascii="Arial" w:hAnsi="Arial" w:cs="Arial"/>
          <w:sz w:val="22"/>
          <w:szCs w:val="20"/>
        </w:rPr>
        <w:t>.</w:t>
      </w:r>
      <w:r w:rsidR="007B3747" w:rsidRPr="008870C0">
        <w:rPr>
          <w:rFonts w:ascii="Arial" w:hAnsi="Arial" w:cs="Arial"/>
          <w:sz w:val="22"/>
          <w:szCs w:val="20"/>
        </w:rPr>
        <w:t xml:space="preserve"> 202</w:t>
      </w:r>
      <w:r w:rsidR="00424CF9" w:rsidRPr="008870C0">
        <w:rPr>
          <w:rFonts w:ascii="Arial" w:hAnsi="Arial" w:cs="Arial"/>
          <w:sz w:val="22"/>
          <w:szCs w:val="20"/>
        </w:rPr>
        <w:t>4</w:t>
      </w:r>
      <w:r w:rsidRPr="008870C0">
        <w:rPr>
          <w:rFonts w:ascii="Arial" w:hAnsi="Arial" w:cs="Arial"/>
          <w:sz w:val="22"/>
          <w:szCs w:val="20"/>
        </w:rPr>
        <w:t xml:space="preserve">. </w:t>
      </w:r>
    </w:p>
    <w:p w14:paraId="0347C064" w14:textId="77777777" w:rsidR="00A74A53" w:rsidRPr="008870C0" w:rsidRDefault="00A74A53" w:rsidP="00B52C79">
      <w:pPr>
        <w:pStyle w:val="Zkladntext2"/>
        <w:spacing w:after="0" w:line="240" w:lineRule="auto"/>
        <w:jc w:val="both"/>
        <w:rPr>
          <w:szCs w:val="20"/>
        </w:rPr>
      </w:pPr>
    </w:p>
    <w:p w14:paraId="72AC5EF1" w14:textId="09DA89BD" w:rsidR="00B131B4" w:rsidRPr="008870C0" w:rsidRDefault="00647135" w:rsidP="00B52C79">
      <w:pPr>
        <w:pStyle w:val="Zkladntext2"/>
        <w:spacing w:after="0" w:line="240" w:lineRule="auto"/>
        <w:jc w:val="both"/>
        <w:rPr>
          <w:i/>
          <w:szCs w:val="20"/>
        </w:rPr>
      </w:pPr>
      <w:r w:rsidRPr="00F36AEE">
        <w:rPr>
          <w:szCs w:val="20"/>
        </w:rPr>
        <w:t>Dodatek č. 1</w:t>
      </w:r>
      <w:r w:rsidR="00B131B4" w:rsidRPr="00F36AEE">
        <w:rPr>
          <w:szCs w:val="20"/>
        </w:rPr>
        <w:t xml:space="preserve"> ke Smlouvě je zpracován </w:t>
      </w:r>
      <w:r w:rsidR="00B52C79" w:rsidRPr="00F36AEE">
        <w:rPr>
          <w:szCs w:val="20"/>
        </w:rPr>
        <w:t>dle zákona č. 134/2016 Sb.,</w:t>
      </w:r>
      <w:r w:rsidR="00391356" w:rsidRPr="00F36AEE">
        <w:rPr>
          <w:szCs w:val="20"/>
        </w:rPr>
        <w:br/>
      </w:r>
      <w:r w:rsidR="00B52C79" w:rsidRPr="00F36AEE">
        <w:rPr>
          <w:szCs w:val="20"/>
        </w:rPr>
        <w:t>o zadávání veřejných zakáze</w:t>
      </w:r>
      <w:r w:rsidR="008942CC" w:rsidRPr="00F36AEE">
        <w:rPr>
          <w:szCs w:val="20"/>
        </w:rPr>
        <w:t>k, ve znění pozdějších předpisů</w:t>
      </w:r>
      <w:r w:rsidRPr="00F36AEE">
        <w:rPr>
          <w:szCs w:val="20"/>
        </w:rPr>
        <w:t>.</w:t>
      </w:r>
      <w:r w:rsidR="00B52C79" w:rsidRPr="008870C0">
        <w:rPr>
          <w:i/>
          <w:szCs w:val="20"/>
        </w:rPr>
        <w:t xml:space="preserve"> </w:t>
      </w:r>
    </w:p>
    <w:p w14:paraId="6F3F255B" w14:textId="77777777" w:rsidR="00D268F9" w:rsidRPr="008870C0" w:rsidRDefault="00D268F9" w:rsidP="00B52C79">
      <w:pPr>
        <w:pStyle w:val="Zkladntext2"/>
        <w:spacing w:after="0" w:line="240" w:lineRule="auto"/>
        <w:jc w:val="both"/>
        <w:rPr>
          <w:i/>
          <w:szCs w:val="20"/>
        </w:rPr>
      </w:pPr>
    </w:p>
    <w:p w14:paraId="42CEABAF" w14:textId="66AB2F27" w:rsidR="00EC6A8C" w:rsidRPr="008870C0" w:rsidRDefault="00EC6A8C" w:rsidP="00E27B7F">
      <w:pPr>
        <w:suppressAutoHyphens w:val="0"/>
        <w:autoSpaceDE w:val="0"/>
        <w:autoSpaceDN w:val="0"/>
        <w:adjustRightInd w:val="0"/>
        <w:jc w:val="both"/>
        <w:rPr>
          <w:rFonts w:eastAsiaTheme="minorHAnsi"/>
          <w:bCs/>
          <w:color w:val="000000"/>
          <w:szCs w:val="22"/>
          <w:lang w:eastAsia="en-US"/>
        </w:rPr>
      </w:pPr>
      <w:r w:rsidRPr="008870C0">
        <w:rPr>
          <w:szCs w:val="22"/>
        </w:rPr>
        <w:lastRenderedPageBreak/>
        <w:t xml:space="preserve">Zhotovitel předal Objednateli dne 17. 7. 2025 projektovou dokumentaci vypracovanou v rámci 2. Etapy </w:t>
      </w:r>
      <w:r w:rsidRPr="008870C0">
        <w:rPr>
          <w:rFonts w:eastAsiaTheme="minorHAnsi"/>
          <w:bCs/>
          <w:color w:val="000000"/>
          <w:szCs w:val="22"/>
          <w:lang w:eastAsia="en-US"/>
        </w:rPr>
        <w:t>pro Společné územní a stavební řízení („DUR“ a „DSP“)</w:t>
      </w:r>
      <w:r w:rsidRPr="008870C0">
        <w:rPr>
          <w:rFonts w:eastAsiaTheme="minorHAnsi"/>
          <w:color w:val="000000"/>
          <w:szCs w:val="22"/>
          <w:lang w:eastAsia="en-US"/>
        </w:rPr>
        <w:t xml:space="preserve">, vč. veřejnoprávního projednání a zajištění kladných vyjádření DOSS se zpožděním 66 dnů. </w:t>
      </w:r>
      <w:r w:rsidRPr="008870C0">
        <w:rPr>
          <w:rFonts w:eastAsiaTheme="minorHAnsi"/>
          <w:bCs/>
          <w:color w:val="000000"/>
          <w:szCs w:val="22"/>
          <w:lang w:eastAsia="en-US"/>
        </w:rPr>
        <w:t xml:space="preserve">Zjednodušený rozpočet stavby byl zaslán emailem. Dle </w:t>
      </w:r>
      <w:r w:rsidR="00A40B72">
        <w:rPr>
          <w:rFonts w:eastAsiaTheme="minorHAnsi"/>
          <w:bCs/>
          <w:color w:val="000000"/>
          <w:szCs w:val="22"/>
          <w:lang w:eastAsia="en-US"/>
        </w:rPr>
        <w:t>Smlouvy</w:t>
      </w:r>
      <w:r w:rsidR="00A40B72" w:rsidRPr="008870C0">
        <w:rPr>
          <w:rFonts w:eastAsiaTheme="minorHAnsi"/>
          <w:bCs/>
          <w:color w:val="000000"/>
          <w:szCs w:val="22"/>
          <w:lang w:eastAsia="en-US"/>
        </w:rPr>
        <w:t xml:space="preserve"> </w:t>
      </w:r>
      <w:r w:rsidRPr="008870C0">
        <w:rPr>
          <w:rFonts w:eastAsiaTheme="minorHAnsi"/>
          <w:bCs/>
          <w:color w:val="000000"/>
          <w:szCs w:val="22"/>
          <w:lang w:eastAsia="en-US"/>
        </w:rPr>
        <w:t>byl termín plnění stanovený v</w:t>
      </w:r>
      <w:r w:rsidR="00A40B72">
        <w:rPr>
          <w:rFonts w:eastAsiaTheme="minorHAnsi"/>
          <w:bCs/>
          <w:color w:val="000000"/>
          <w:szCs w:val="22"/>
          <w:lang w:eastAsia="en-US"/>
        </w:rPr>
        <w:t>e</w:t>
      </w:r>
      <w:r w:rsidRPr="008870C0">
        <w:rPr>
          <w:rFonts w:eastAsiaTheme="minorHAnsi"/>
          <w:bCs/>
          <w:color w:val="000000"/>
          <w:szCs w:val="22"/>
          <w:lang w:eastAsia="en-US"/>
        </w:rPr>
        <w:t> </w:t>
      </w:r>
      <w:r w:rsidR="00A40B72">
        <w:rPr>
          <w:rFonts w:eastAsiaTheme="minorHAnsi"/>
          <w:bCs/>
          <w:color w:val="000000"/>
          <w:szCs w:val="22"/>
          <w:lang w:eastAsia="en-US"/>
        </w:rPr>
        <w:t>Smlouvě</w:t>
      </w:r>
      <w:r w:rsidR="00A40B72" w:rsidRPr="008870C0">
        <w:rPr>
          <w:rFonts w:eastAsiaTheme="minorHAnsi"/>
          <w:bCs/>
          <w:color w:val="000000"/>
          <w:szCs w:val="22"/>
          <w:lang w:eastAsia="en-US"/>
        </w:rPr>
        <w:t xml:space="preserve"> </w:t>
      </w:r>
      <w:r w:rsidRPr="008870C0">
        <w:rPr>
          <w:rFonts w:eastAsiaTheme="minorHAnsi"/>
          <w:bCs/>
          <w:color w:val="000000"/>
          <w:szCs w:val="22"/>
          <w:lang w:eastAsia="en-US"/>
        </w:rPr>
        <w:t>pro 2. Etapu 285 dnů od předání 1. etapy tj. od 31. 7. 2024.</w:t>
      </w:r>
      <w:r w:rsidR="00DE5040" w:rsidRPr="008870C0">
        <w:rPr>
          <w:rFonts w:eastAsiaTheme="minorHAnsi"/>
          <w:bCs/>
          <w:color w:val="000000"/>
          <w:szCs w:val="22"/>
          <w:lang w:eastAsia="en-US"/>
        </w:rPr>
        <w:t xml:space="preserve"> Smluvní s</w:t>
      </w:r>
      <w:r w:rsidR="00A557DB" w:rsidRPr="008870C0">
        <w:rPr>
          <w:rFonts w:eastAsiaTheme="minorHAnsi"/>
          <w:bCs/>
          <w:color w:val="000000"/>
          <w:szCs w:val="22"/>
          <w:lang w:eastAsia="en-US"/>
        </w:rPr>
        <w:t>t</w:t>
      </w:r>
      <w:r w:rsidR="00DE5040" w:rsidRPr="008870C0">
        <w:rPr>
          <w:rFonts w:eastAsiaTheme="minorHAnsi"/>
          <w:bCs/>
          <w:color w:val="000000"/>
          <w:szCs w:val="22"/>
          <w:lang w:eastAsia="en-US"/>
        </w:rPr>
        <w:t xml:space="preserve">rany se dohodly, že v případě, že zdržení se zpracováním PD v 2. Etapě nebude mít vliv na předání a dokončení 3. Etapy nebude pokuta za </w:t>
      </w:r>
      <w:r w:rsidR="00A557DB" w:rsidRPr="008870C0">
        <w:rPr>
          <w:rFonts w:eastAsiaTheme="minorHAnsi"/>
          <w:bCs/>
          <w:color w:val="000000"/>
          <w:szCs w:val="22"/>
          <w:lang w:eastAsia="en-US"/>
        </w:rPr>
        <w:t>n</w:t>
      </w:r>
      <w:r w:rsidR="00DE5040" w:rsidRPr="008870C0">
        <w:rPr>
          <w:rFonts w:eastAsiaTheme="minorHAnsi"/>
          <w:bCs/>
          <w:color w:val="000000"/>
          <w:szCs w:val="22"/>
          <w:lang w:eastAsia="en-US"/>
        </w:rPr>
        <w:t xml:space="preserve">esplnění termínu plnění 2. Etapy Objednatelem účtována. Termín dokončení 3. Etapy dle </w:t>
      </w:r>
      <w:r w:rsidR="00A40B72">
        <w:rPr>
          <w:rFonts w:eastAsiaTheme="minorHAnsi"/>
          <w:bCs/>
          <w:color w:val="000000"/>
          <w:szCs w:val="22"/>
          <w:lang w:eastAsia="en-US"/>
        </w:rPr>
        <w:t>Smlouvy</w:t>
      </w:r>
      <w:r w:rsidR="00E0739A">
        <w:rPr>
          <w:rFonts w:eastAsiaTheme="minorHAnsi"/>
          <w:bCs/>
          <w:color w:val="000000"/>
          <w:szCs w:val="22"/>
          <w:lang w:eastAsia="en-US"/>
        </w:rPr>
        <w:t xml:space="preserve"> </w:t>
      </w:r>
      <w:r w:rsidR="00DE5040" w:rsidRPr="008870C0">
        <w:rPr>
          <w:rFonts w:eastAsiaTheme="minorHAnsi"/>
          <w:bCs/>
          <w:color w:val="000000"/>
          <w:szCs w:val="22"/>
          <w:lang w:eastAsia="en-US"/>
        </w:rPr>
        <w:t>je stan</w:t>
      </w:r>
      <w:r w:rsidR="00A557DB" w:rsidRPr="008870C0">
        <w:rPr>
          <w:rFonts w:eastAsiaTheme="minorHAnsi"/>
          <w:bCs/>
          <w:color w:val="000000"/>
          <w:szCs w:val="22"/>
          <w:lang w:eastAsia="en-US"/>
        </w:rPr>
        <w:t>oven na 23. 10. 2025.</w:t>
      </w:r>
    </w:p>
    <w:p w14:paraId="660BBBA0" w14:textId="77777777" w:rsidR="00EC6A8C" w:rsidRPr="008870C0" w:rsidRDefault="00EC6A8C" w:rsidP="00E27B7F">
      <w:pPr>
        <w:suppressAutoHyphens w:val="0"/>
        <w:autoSpaceDE w:val="0"/>
        <w:autoSpaceDN w:val="0"/>
        <w:adjustRightInd w:val="0"/>
        <w:jc w:val="both"/>
        <w:rPr>
          <w:szCs w:val="22"/>
        </w:rPr>
      </w:pPr>
    </w:p>
    <w:p w14:paraId="4102EF4E" w14:textId="77777777" w:rsidR="00E27B7F" w:rsidRPr="008870C0" w:rsidRDefault="00D268F9" w:rsidP="00E27B7F">
      <w:pPr>
        <w:suppressAutoHyphens w:val="0"/>
        <w:autoSpaceDE w:val="0"/>
        <w:autoSpaceDN w:val="0"/>
        <w:adjustRightInd w:val="0"/>
        <w:jc w:val="both"/>
        <w:rPr>
          <w:szCs w:val="22"/>
          <w:lang w:eastAsia="cs-CZ"/>
        </w:rPr>
      </w:pPr>
      <w:r w:rsidRPr="008870C0">
        <w:rPr>
          <w:szCs w:val="22"/>
        </w:rPr>
        <w:t xml:space="preserve">Objednatel obdržel dne 17. 7. 2025 </w:t>
      </w:r>
      <w:r w:rsidRPr="008870C0">
        <w:rPr>
          <w:rFonts w:eastAsiaTheme="minorHAnsi"/>
          <w:szCs w:val="22"/>
          <w:lang w:eastAsia="en-US"/>
        </w:rPr>
        <w:t>Žádost Zhotovitele o úpravu podmínek fakturace</w:t>
      </w:r>
      <w:r w:rsidR="00E27B7F" w:rsidRPr="008870C0">
        <w:rPr>
          <w:rFonts w:eastAsiaTheme="minorHAnsi"/>
          <w:szCs w:val="22"/>
          <w:lang w:eastAsia="en-US"/>
        </w:rPr>
        <w:t xml:space="preserve"> 2. etapy</w:t>
      </w:r>
      <w:r w:rsidRPr="008870C0">
        <w:rPr>
          <w:rFonts w:eastAsiaTheme="minorHAnsi"/>
          <w:szCs w:val="22"/>
          <w:lang w:eastAsia="en-US"/>
        </w:rPr>
        <w:t> výše uvedené akc</w:t>
      </w:r>
      <w:r w:rsidR="00E27B7F" w:rsidRPr="008870C0">
        <w:rPr>
          <w:rFonts w:eastAsiaTheme="minorHAnsi"/>
          <w:szCs w:val="22"/>
          <w:lang w:eastAsia="en-US"/>
        </w:rPr>
        <w:t>e</w:t>
      </w:r>
      <w:r w:rsidRPr="008870C0">
        <w:rPr>
          <w:rFonts w:eastAsiaTheme="minorHAnsi"/>
          <w:szCs w:val="22"/>
          <w:lang w:eastAsia="en-US"/>
        </w:rPr>
        <w:t>, která představuje z</w:t>
      </w:r>
      <w:r w:rsidR="00E27B7F" w:rsidRPr="008870C0">
        <w:rPr>
          <w:szCs w:val="22"/>
          <w:lang w:eastAsia="cs-CZ"/>
        </w:rPr>
        <w:t>měnu</w:t>
      </w:r>
      <w:r w:rsidRPr="008870C0">
        <w:rPr>
          <w:szCs w:val="22"/>
          <w:lang w:eastAsia="cs-CZ"/>
        </w:rPr>
        <w:t xml:space="preserve"> způsobu fakturace, kdy Zhotovitel žádá o vyplacení 70% částky</w:t>
      </w:r>
      <w:r w:rsidR="00E27B7F" w:rsidRPr="008870C0">
        <w:rPr>
          <w:szCs w:val="22"/>
          <w:lang w:eastAsia="cs-CZ"/>
        </w:rPr>
        <w:t xml:space="preserve"> naceněné za etapu č. 2</w:t>
      </w:r>
      <w:r w:rsidRPr="008870C0">
        <w:rPr>
          <w:szCs w:val="22"/>
          <w:lang w:eastAsia="cs-CZ"/>
        </w:rPr>
        <w:t xml:space="preserve">.  </w:t>
      </w:r>
    </w:p>
    <w:p w14:paraId="1CADAADE" w14:textId="77777777" w:rsidR="00E27B7F" w:rsidRPr="008870C0" w:rsidRDefault="00E27B7F" w:rsidP="00E27B7F">
      <w:pPr>
        <w:suppressAutoHyphens w:val="0"/>
        <w:autoSpaceDE w:val="0"/>
        <w:autoSpaceDN w:val="0"/>
        <w:adjustRightInd w:val="0"/>
        <w:jc w:val="both"/>
        <w:rPr>
          <w:b/>
          <w:szCs w:val="22"/>
          <w:lang w:eastAsia="cs-CZ"/>
        </w:rPr>
      </w:pPr>
    </w:p>
    <w:p w14:paraId="4D80D94B" w14:textId="503CD7F7" w:rsidR="00E27B7F" w:rsidRPr="008870C0" w:rsidRDefault="00D268F9" w:rsidP="00E27B7F">
      <w:pPr>
        <w:suppressAutoHyphens w:val="0"/>
        <w:autoSpaceDE w:val="0"/>
        <w:autoSpaceDN w:val="0"/>
        <w:adjustRightInd w:val="0"/>
        <w:jc w:val="both"/>
        <w:rPr>
          <w:szCs w:val="22"/>
          <w:lang w:eastAsia="cs-CZ"/>
        </w:rPr>
      </w:pPr>
      <w:r w:rsidRPr="008870C0">
        <w:rPr>
          <w:szCs w:val="22"/>
          <w:lang w:eastAsia="cs-CZ"/>
        </w:rPr>
        <w:t xml:space="preserve">Dle </w:t>
      </w:r>
      <w:r w:rsidR="00E0739A">
        <w:rPr>
          <w:szCs w:val="22"/>
          <w:lang w:eastAsia="cs-CZ"/>
        </w:rPr>
        <w:t xml:space="preserve">Smlouvy </w:t>
      </w:r>
      <w:r w:rsidRPr="008870C0">
        <w:rPr>
          <w:szCs w:val="22"/>
          <w:lang w:eastAsia="cs-CZ"/>
        </w:rPr>
        <w:t>je fakturace za odevzdanou 2. Etapu – PD pro Společné územní a stavební řízení vč.</w:t>
      </w:r>
      <w:r w:rsidR="00E27B7F" w:rsidRPr="008870C0">
        <w:rPr>
          <w:szCs w:val="22"/>
          <w:lang w:eastAsia="cs-CZ"/>
        </w:rPr>
        <w:t xml:space="preserve"> </w:t>
      </w:r>
      <w:r w:rsidRPr="008870C0">
        <w:rPr>
          <w:szCs w:val="22"/>
          <w:lang w:eastAsia="cs-CZ"/>
        </w:rPr>
        <w:t>zjednodušeného rozpočtu stavby – navázána na získání pravomocného stavebního povolení.</w:t>
      </w:r>
      <w:r w:rsidR="00E27B7F" w:rsidRPr="008870C0">
        <w:rPr>
          <w:szCs w:val="22"/>
          <w:lang w:eastAsia="cs-CZ"/>
        </w:rPr>
        <w:t xml:space="preserve"> </w:t>
      </w:r>
    </w:p>
    <w:p w14:paraId="699C6283" w14:textId="77777777" w:rsidR="00E27B7F" w:rsidRPr="008870C0" w:rsidRDefault="00E27B7F" w:rsidP="00E27B7F">
      <w:pPr>
        <w:suppressAutoHyphens w:val="0"/>
        <w:autoSpaceDE w:val="0"/>
        <w:autoSpaceDN w:val="0"/>
        <w:adjustRightInd w:val="0"/>
        <w:jc w:val="both"/>
        <w:rPr>
          <w:szCs w:val="22"/>
          <w:lang w:eastAsia="cs-CZ"/>
        </w:rPr>
      </w:pPr>
    </w:p>
    <w:p w14:paraId="4FCD1572" w14:textId="4935EEAE" w:rsidR="00E27B7F" w:rsidRPr="008870C0" w:rsidRDefault="00D268F9" w:rsidP="00E27B7F">
      <w:pPr>
        <w:suppressAutoHyphens w:val="0"/>
        <w:autoSpaceDE w:val="0"/>
        <w:autoSpaceDN w:val="0"/>
        <w:adjustRightInd w:val="0"/>
        <w:spacing w:after="240"/>
        <w:jc w:val="both"/>
        <w:rPr>
          <w:szCs w:val="22"/>
          <w:lang w:eastAsia="cs-CZ"/>
        </w:rPr>
      </w:pPr>
      <w:r w:rsidRPr="008870C0">
        <w:rPr>
          <w:szCs w:val="22"/>
          <w:lang w:eastAsia="cs-CZ"/>
        </w:rPr>
        <w:t xml:space="preserve">Zhotovitel </w:t>
      </w:r>
      <w:r w:rsidR="00E27B7F" w:rsidRPr="008870C0">
        <w:rPr>
          <w:szCs w:val="22"/>
          <w:lang w:eastAsia="cs-CZ"/>
        </w:rPr>
        <w:t xml:space="preserve">ve své žádosti </w:t>
      </w:r>
      <w:r w:rsidRPr="008870C0">
        <w:rPr>
          <w:szCs w:val="22"/>
          <w:lang w:eastAsia="cs-CZ"/>
        </w:rPr>
        <w:t xml:space="preserve">požádal </w:t>
      </w:r>
      <w:r w:rsidR="00E27B7F" w:rsidRPr="008870C0">
        <w:rPr>
          <w:szCs w:val="22"/>
          <w:lang w:eastAsia="cs-CZ"/>
        </w:rPr>
        <w:t>Objednatele o možnost</w:t>
      </w:r>
      <w:r w:rsidRPr="008870C0">
        <w:rPr>
          <w:szCs w:val="22"/>
          <w:lang w:eastAsia="cs-CZ"/>
        </w:rPr>
        <w:t xml:space="preserve"> fakturace části honoráře ve výši 70% smluvní částky určené na dokončení 2. Etapy projektu</w:t>
      </w:r>
      <w:r w:rsidR="00E27B7F" w:rsidRPr="008870C0">
        <w:rPr>
          <w:szCs w:val="22"/>
          <w:lang w:eastAsia="cs-CZ"/>
        </w:rPr>
        <w:t xml:space="preserve"> a to již před získání pravomocného stavebního povolení. Ž</w:t>
      </w:r>
      <w:r w:rsidRPr="008870C0">
        <w:rPr>
          <w:szCs w:val="22"/>
          <w:lang w:eastAsia="cs-CZ"/>
        </w:rPr>
        <w:t xml:space="preserve">ádost </w:t>
      </w:r>
      <w:r w:rsidR="00E27B7F" w:rsidRPr="008870C0">
        <w:rPr>
          <w:szCs w:val="22"/>
          <w:lang w:eastAsia="cs-CZ"/>
        </w:rPr>
        <w:t xml:space="preserve">o Společné územní a stavební řízení vč. stanovisek DOSS byla </w:t>
      </w:r>
      <w:r w:rsidRPr="008870C0">
        <w:rPr>
          <w:szCs w:val="22"/>
          <w:lang w:eastAsia="cs-CZ"/>
        </w:rPr>
        <w:t xml:space="preserve">na SÚ P7 podána </w:t>
      </w:r>
      <w:r w:rsidR="00E27B7F" w:rsidRPr="008870C0">
        <w:rPr>
          <w:szCs w:val="22"/>
          <w:lang w:eastAsia="cs-CZ"/>
        </w:rPr>
        <w:t xml:space="preserve">Zhotovitelem dne </w:t>
      </w:r>
      <w:r w:rsidRPr="008870C0">
        <w:rPr>
          <w:szCs w:val="22"/>
          <w:lang w:eastAsia="cs-CZ"/>
        </w:rPr>
        <w:t>17. 7. 2025</w:t>
      </w:r>
      <w:r w:rsidR="00E27B7F" w:rsidRPr="008870C0">
        <w:rPr>
          <w:szCs w:val="22"/>
          <w:lang w:eastAsia="cs-CZ"/>
        </w:rPr>
        <w:t xml:space="preserve">. Důvodem pro úpravu </w:t>
      </w:r>
      <w:r w:rsidRPr="008870C0">
        <w:rPr>
          <w:szCs w:val="22"/>
          <w:lang w:eastAsia="cs-CZ"/>
        </w:rPr>
        <w:t>smluvně nastavených podmíne</w:t>
      </w:r>
      <w:r w:rsidR="00E27B7F" w:rsidRPr="008870C0">
        <w:rPr>
          <w:szCs w:val="22"/>
          <w:lang w:eastAsia="cs-CZ"/>
        </w:rPr>
        <w:t xml:space="preserve">k fakturace 2. Etapy je </w:t>
      </w:r>
      <w:r w:rsidRPr="008870C0">
        <w:rPr>
          <w:szCs w:val="22"/>
          <w:lang w:eastAsia="cs-CZ"/>
        </w:rPr>
        <w:t>požadav</w:t>
      </w:r>
      <w:r w:rsidR="00E27B7F" w:rsidRPr="008870C0">
        <w:rPr>
          <w:szCs w:val="22"/>
          <w:lang w:eastAsia="cs-CZ"/>
        </w:rPr>
        <w:t xml:space="preserve">ek </w:t>
      </w:r>
      <w:r w:rsidR="00E0739A">
        <w:rPr>
          <w:szCs w:val="22"/>
          <w:lang w:eastAsia="cs-CZ"/>
        </w:rPr>
        <w:t>Smlouvy</w:t>
      </w:r>
      <w:r w:rsidR="00E0739A" w:rsidRPr="008870C0">
        <w:rPr>
          <w:szCs w:val="22"/>
          <w:lang w:eastAsia="cs-CZ"/>
        </w:rPr>
        <w:t xml:space="preserve"> </w:t>
      </w:r>
      <w:r w:rsidRPr="008870C0">
        <w:rPr>
          <w:szCs w:val="22"/>
          <w:lang w:eastAsia="cs-CZ"/>
        </w:rPr>
        <w:t xml:space="preserve">na okamžité navázání prací 3. Etapy. Zhotovitel </w:t>
      </w:r>
      <w:r w:rsidR="00E27B7F" w:rsidRPr="008870C0">
        <w:rPr>
          <w:szCs w:val="22"/>
          <w:lang w:eastAsia="cs-CZ"/>
        </w:rPr>
        <w:t>tak nemá ještě uhrazeny náklady na realizaci PD v 2. Etapě a měl by zahájit projekční práce na 3. Etapě. Celkově se jedná o náklady:</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2"/>
        <w:gridCol w:w="2693"/>
      </w:tblGrid>
      <w:tr w:rsidR="00E27B7F" w:rsidRPr="00E27B7F" w14:paraId="0BCACDC5" w14:textId="77777777" w:rsidTr="00E27B7F">
        <w:trPr>
          <w:trHeight w:val="483"/>
        </w:trPr>
        <w:tc>
          <w:tcPr>
            <w:tcW w:w="6482" w:type="dxa"/>
          </w:tcPr>
          <w:p w14:paraId="6096F38B" w14:textId="3C027643" w:rsidR="00E27B7F" w:rsidRPr="00E27B7F" w:rsidRDefault="00E27B7F" w:rsidP="00E27B7F">
            <w:pPr>
              <w:suppressAutoHyphens w:val="0"/>
              <w:autoSpaceDE w:val="0"/>
              <w:autoSpaceDN w:val="0"/>
              <w:adjustRightInd w:val="0"/>
              <w:ind w:left="279" w:hanging="279"/>
              <w:rPr>
                <w:rFonts w:eastAsiaTheme="minorHAnsi"/>
                <w:color w:val="000000"/>
                <w:sz w:val="20"/>
                <w:szCs w:val="20"/>
                <w:lang w:eastAsia="en-US"/>
              </w:rPr>
            </w:pPr>
            <w:r w:rsidRPr="00E27B7F">
              <w:rPr>
                <w:rFonts w:eastAsiaTheme="minorHAnsi"/>
                <w:b/>
                <w:color w:val="000000"/>
                <w:sz w:val="20"/>
                <w:szCs w:val="20"/>
                <w:lang w:eastAsia="en-US"/>
              </w:rPr>
              <w:t>2.</w:t>
            </w:r>
            <w:r w:rsidRPr="00E27B7F">
              <w:rPr>
                <w:rFonts w:eastAsiaTheme="minorHAnsi"/>
                <w:color w:val="000000"/>
                <w:sz w:val="20"/>
                <w:szCs w:val="20"/>
                <w:lang w:eastAsia="en-US"/>
              </w:rPr>
              <w:t xml:space="preserve"> </w:t>
            </w:r>
            <w:r w:rsidRPr="00E27B7F">
              <w:rPr>
                <w:rFonts w:eastAsiaTheme="minorHAnsi"/>
                <w:b/>
                <w:bCs/>
                <w:color w:val="000000"/>
                <w:sz w:val="20"/>
                <w:szCs w:val="20"/>
                <w:lang w:eastAsia="en-US"/>
              </w:rPr>
              <w:t xml:space="preserve">ETAPA </w:t>
            </w:r>
            <w:r w:rsidRPr="00A44762">
              <w:rPr>
                <w:rFonts w:eastAsiaTheme="minorHAnsi"/>
                <w:b/>
                <w:bCs/>
                <w:color w:val="000000"/>
                <w:sz w:val="20"/>
                <w:szCs w:val="20"/>
                <w:lang w:eastAsia="en-US"/>
              </w:rPr>
              <w:t xml:space="preserve"> - </w:t>
            </w:r>
            <w:r w:rsidRPr="00E27B7F">
              <w:rPr>
                <w:rFonts w:eastAsiaTheme="minorHAnsi"/>
                <w:b/>
                <w:bCs/>
                <w:color w:val="000000"/>
                <w:sz w:val="20"/>
                <w:szCs w:val="20"/>
                <w:lang w:eastAsia="en-US"/>
              </w:rPr>
              <w:t xml:space="preserve">PD pro Společné územní a stavební řízení vč. zjedn. rozpočtu stavby („DUR“ a „DSP“) </w:t>
            </w:r>
            <w:r w:rsidRPr="00E27B7F">
              <w:rPr>
                <w:rFonts w:eastAsiaTheme="minorHAnsi"/>
                <w:color w:val="000000"/>
                <w:sz w:val="20"/>
                <w:szCs w:val="20"/>
                <w:lang w:eastAsia="en-US"/>
              </w:rPr>
              <w:t xml:space="preserve">dle platných vyhlášek, vč. veřejnoprávního projednání a zajištění kladných vyjádření DOSS a stavebního povolení </w:t>
            </w:r>
          </w:p>
        </w:tc>
        <w:tc>
          <w:tcPr>
            <w:tcW w:w="2693" w:type="dxa"/>
          </w:tcPr>
          <w:p w14:paraId="1A09FA0F" w14:textId="13C52C57" w:rsidR="00E27B7F" w:rsidRPr="00E27B7F" w:rsidRDefault="00E51AAD" w:rsidP="00E27B7F">
            <w:pPr>
              <w:suppressAutoHyphens w:val="0"/>
              <w:autoSpaceDE w:val="0"/>
              <w:autoSpaceDN w:val="0"/>
              <w:adjustRightInd w:val="0"/>
              <w:rPr>
                <w:rFonts w:eastAsiaTheme="minorHAnsi"/>
                <w:b/>
                <w:color w:val="000000"/>
                <w:sz w:val="20"/>
                <w:szCs w:val="20"/>
                <w:lang w:eastAsia="en-US"/>
              </w:rPr>
            </w:pPr>
            <w:r>
              <w:rPr>
                <w:rFonts w:eastAsiaTheme="minorHAnsi"/>
                <w:b/>
                <w:color w:val="000000"/>
                <w:sz w:val="20"/>
                <w:szCs w:val="20"/>
                <w:lang w:eastAsia="en-US"/>
              </w:rPr>
              <w:t xml:space="preserve">       </w:t>
            </w:r>
            <w:r w:rsidR="00E27B7F" w:rsidRPr="00E27B7F">
              <w:rPr>
                <w:rFonts w:eastAsiaTheme="minorHAnsi"/>
                <w:b/>
                <w:color w:val="000000"/>
                <w:sz w:val="20"/>
                <w:szCs w:val="20"/>
                <w:lang w:eastAsia="en-US"/>
              </w:rPr>
              <w:t>7 470</w:t>
            </w:r>
            <w:r>
              <w:rPr>
                <w:rFonts w:eastAsiaTheme="minorHAnsi"/>
                <w:b/>
                <w:color w:val="000000"/>
                <w:sz w:val="20"/>
                <w:szCs w:val="20"/>
                <w:lang w:eastAsia="en-US"/>
              </w:rPr>
              <w:t> </w:t>
            </w:r>
            <w:r w:rsidR="00E27B7F" w:rsidRPr="00E27B7F">
              <w:rPr>
                <w:rFonts w:eastAsiaTheme="minorHAnsi"/>
                <w:b/>
                <w:color w:val="000000"/>
                <w:sz w:val="20"/>
                <w:szCs w:val="20"/>
                <w:lang w:eastAsia="en-US"/>
              </w:rPr>
              <w:t>000</w:t>
            </w:r>
            <w:r>
              <w:rPr>
                <w:rFonts w:eastAsiaTheme="minorHAnsi"/>
                <w:b/>
                <w:color w:val="000000"/>
                <w:sz w:val="20"/>
                <w:szCs w:val="20"/>
                <w:lang w:eastAsia="en-US"/>
              </w:rPr>
              <w:t xml:space="preserve"> Kč</w:t>
            </w:r>
            <w:r w:rsidR="00E27B7F" w:rsidRPr="00E27B7F">
              <w:rPr>
                <w:rFonts w:eastAsiaTheme="minorHAnsi"/>
                <w:b/>
                <w:color w:val="000000"/>
                <w:sz w:val="20"/>
                <w:szCs w:val="20"/>
                <w:lang w:eastAsia="en-US"/>
              </w:rPr>
              <w:t xml:space="preserve"> bez DPH </w:t>
            </w:r>
          </w:p>
        </w:tc>
      </w:tr>
      <w:tr w:rsidR="00E27B7F" w:rsidRPr="00E27B7F" w14:paraId="0431916B" w14:textId="77777777" w:rsidTr="00E27B7F">
        <w:trPr>
          <w:trHeight w:val="482"/>
        </w:trPr>
        <w:tc>
          <w:tcPr>
            <w:tcW w:w="6482" w:type="dxa"/>
          </w:tcPr>
          <w:p w14:paraId="6B80343A" w14:textId="183C1C43" w:rsidR="00E27B7F" w:rsidRPr="00E27B7F" w:rsidRDefault="00E27B7F" w:rsidP="00E27B7F">
            <w:pPr>
              <w:suppressAutoHyphens w:val="0"/>
              <w:autoSpaceDE w:val="0"/>
              <w:autoSpaceDN w:val="0"/>
              <w:adjustRightInd w:val="0"/>
              <w:ind w:left="279" w:hanging="279"/>
              <w:rPr>
                <w:rFonts w:eastAsiaTheme="minorHAnsi"/>
                <w:color w:val="000000"/>
                <w:sz w:val="20"/>
                <w:szCs w:val="20"/>
                <w:lang w:eastAsia="en-US"/>
              </w:rPr>
            </w:pPr>
            <w:r w:rsidRPr="00E27B7F">
              <w:rPr>
                <w:rFonts w:eastAsiaTheme="minorHAnsi"/>
                <w:b/>
                <w:color w:val="000000"/>
                <w:sz w:val="20"/>
                <w:szCs w:val="20"/>
                <w:lang w:eastAsia="en-US"/>
              </w:rPr>
              <w:t>3.</w:t>
            </w:r>
            <w:r w:rsidRPr="00E27B7F">
              <w:rPr>
                <w:rFonts w:eastAsiaTheme="minorHAnsi"/>
                <w:color w:val="000000"/>
                <w:sz w:val="20"/>
                <w:szCs w:val="20"/>
                <w:lang w:eastAsia="en-US"/>
              </w:rPr>
              <w:t xml:space="preserve"> </w:t>
            </w:r>
            <w:r w:rsidRPr="00E27B7F">
              <w:rPr>
                <w:rFonts w:eastAsiaTheme="minorHAnsi"/>
                <w:b/>
                <w:bCs/>
                <w:color w:val="000000"/>
                <w:sz w:val="20"/>
                <w:szCs w:val="20"/>
                <w:lang w:eastAsia="en-US"/>
              </w:rPr>
              <w:t xml:space="preserve">ETAPA – vypracování PD pro provedení stavby („DPS“) včetně položkového soupisu prací, dodávek a služeb (výkazu výměr) a kontrolního rozpočtu stavby </w:t>
            </w:r>
          </w:p>
        </w:tc>
        <w:tc>
          <w:tcPr>
            <w:tcW w:w="2693" w:type="dxa"/>
          </w:tcPr>
          <w:p w14:paraId="30609499" w14:textId="38877E40" w:rsidR="00E27B7F" w:rsidRPr="00E27B7F" w:rsidRDefault="00E51AAD" w:rsidP="00E27B7F">
            <w:pPr>
              <w:suppressAutoHyphens w:val="0"/>
              <w:autoSpaceDE w:val="0"/>
              <w:autoSpaceDN w:val="0"/>
              <w:adjustRightInd w:val="0"/>
              <w:rPr>
                <w:rFonts w:eastAsiaTheme="minorHAnsi"/>
                <w:b/>
                <w:color w:val="000000"/>
                <w:sz w:val="20"/>
                <w:szCs w:val="20"/>
                <w:lang w:eastAsia="en-US"/>
              </w:rPr>
            </w:pPr>
            <w:r>
              <w:rPr>
                <w:rFonts w:eastAsiaTheme="minorHAnsi"/>
                <w:b/>
                <w:color w:val="000000"/>
                <w:sz w:val="20"/>
                <w:szCs w:val="20"/>
                <w:lang w:eastAsia="en-US"/>
              </w:rPr>
              <w:t xml:space="preserve">       </w:t>
            </w:r>
            <w:r w:rsidR="00E27B7F" w:rsidRPr="00E27B7F">
              <w:rPr>
                <w:rFonts w:eastAsiaTheme="minorHAnsi"/>
                <w:b/>
                <w:color w:val="000000"/>
                <w:sz w:val="20"/>
                <w:szCs w:val="20"/>
                <w:lang w:eastAsia="en-US"/>
              </w:rPr>
              <w:t xml:space="preserve">6 400 000 Kč bez DPH </w:t>
            </w:r>
          </w:p>
        </w:tc>
      </w:tr>
    </w:tbl>
    <w:p w14:paraId="22025EC5" w14:textId="77777777" w:rsidR="00E27B7F" w:rsidRPr="00A44762" w:rsidRDefault="00E27B7F" w:rsidP="00E27B7F">
      <w:pPr>
        <w:suppressAutoHyphens w:val="0"/>
        <w:autoSpaceDE w:val="0"/>
        <w:autoSpaceDN w:val="0"/>
        <w:adjustRightInd w:val="0"/>
        <w:jc w:val="both"/>
        <w:rPr>
          <w:sz w:val="20"/>
          <w:szCs w:val="20"/>
          <w:lang w:eastAsia="cs-CZ"/>
        </w:rPr>
      </w:pPr>
    </w:p>
    <w:p w14:paraId="5F0ECCF0" w14:textId="65D43EF4" w:rsidR="00D268F9" w:rsidRPr="008870C0" w:rsidRDefault="00F67E89" w:rsidP="00E27B7F">
      <w:pPr>
        <w:suppressAutoHyphens w:val="0"/>
        <w:autoSpaceDE w:val="0"/>
        <w:autoSpaceDN w:val="0"/>
        <w:adjustRightInd w:val="0"/>
        <w:jc w:val="both"/>
        <w:rPr>
          <w:i/>
          <w:szCs w:val="20"/>
        </w:rPr>
      </w:pPr>
      <w:r w:rsidRPr="008870C0">
        <w:rPr>
          <w:szCs w:val="20"/>
          <w:lang w:eastAsia="cs-CZ"/>
        </w:rPr>
        <w:t xml:space="preserve">Což je v součtu 0,72% z celkové ceny díla. </w:t>
      </w:r>
      <w:r w:rsidR="00E27B7F" w:rsidRPr="008870C0">
        <w:rPr>
          <w:szCs w:val="20"/>
          <w:lang w:eastAsia="cs-CZ"/>
        </w:rPr>
        <w:t>Z výše uvedených důvodů se tak Zhotovitel dostává do</w:t>
      </w:r>
      <w:r w:rsidR="00D268F9" w:rsidRPr="008870C0">
        <w:rPr>
          <w:szCs w:val="20"/>
          <w:lang w:eastAsia="cs-CZ"/>
        </w:rPr>
        <w:t xml:space="preserve"> značných problémů s cash flow a financováním celé akce – především ve vztahu ke svým subdodavatelům (profesím).</w:t>
      </w:r>
    </w:p>
    <w:p w14:paraId="1CDDFE42" w14:textId="77777777" w:rsidR="00647135" w:rsidRPr="008870C0" w:rsidRDefault="00647135" w:rsidP="00B52C79">
      <w:pPr>
        <w:pStyle w:val="Zkladntext2"/>
        <w:spacing w:after="0" w:line="240" w:lineRule="auto"/>
        <w:jc w:val="both"/>
        <w:rPr>
          <w:b/>
          <w:szCs w:val="20"/>
        </w:rPr>
      </w:pPr>
    </w:p>
    <w:p w14:paraId="32927139" w14:textId="693B5985" w:rsidR="00B131B4" w:rsidRPr="008870C0" w:rsidRDefault="00647135" w:rsidP="00326F2D">
      <w:pPr>
        <w:pStyle w:val="Zkladntext2"/>
        <w:spacing w:line="240" w:lineRule="auto"/>
        <w:jc w:val="both"/>
        <w:rPr>
          <w:b/>
          <w:szCs w:val="20"/>
        </w:rPr>
      </w:pPr>
      <w:r w:rsidRPr="008870C0">
        <w:rPr>
          <w:b/>
          <w:szCs w:val="20"/>
        </w:rPr>
        <w:t>Tímto Dodatkem č. 1</w:t>
      </w:r>
      <w:r w:rsidR="00272EE2" w:rsidRPr="008870C0">
        <w:rPr>
          <w:b/>
          <w:szCs w:val="20"/>
        </w:rPr>
        <w:t xml:space="preserve"> se </w:t>
      </w:r>
      <w:r w:rsidR="00A44762" w:rsidRPr="008870C0">
        <w:rPr>
          <w:b/>
          <w:szCs w:val="20"/>
        </w:rPr>
        <w:t xml:space="preserve">tedy </w:t>
      </w:r>
      <w:r w:rsidR="00272EE2" w:rsidRPr="008870C0">
        <w:rPr>
          <w:b/>
          <w:szCs w:val="20"/>
        </w:rPr>
        <w:t>nepodstatným způsobem</w:t>
      </w:r>
      <w:r w:rsidR="00272EE2" w:rsidRPr="008870C0">
        <w:rPr>
          <w:szCs w:val="20"/>
        </w:rPr>
        <w:t xml:space="preserve"> </w:t>
      </w:r>
      <w:r w:rsidR="00272EE2" w:rsidRPr="008870C0">
        <w:rPr>
          <w:b/>
          <w:szCs w:val="20"/>
        </w:rPr>
        <w:t xml:space="preserve">mění </w:t>
      </w:r>
      <w:r w:rsidR="00262696" w:rsidRPr="008870C0">
        <w:rPr>
          <w:b/>
          <w:szCs w:val="20"/>
        </w:rPr>
        <w:t>obchodní podmínky ve</w:t>
      </w:r>
      <w:r w:rsidR="00272EE2" w:rsidRPr="008870C0">
        <w:rPr>
          <w:b/>
          <w:szCs w:val="20"/>
        </w:rPr>
        <w:t xml:space="preserve"> Smlouv</w:t>
      </w:r>
      <w:r w:rsidR="00262696" w:rsidRPr="008870C0">
        <w:rPr>
          <w:b/>
          <w:szCs w:val="20"/>
        </w:rPr>
        <w:t>ě</w:t>
      </w:r>
      <w:r w:rsidR="00A44762" w:rsidRPr="008870C0">
        <w:rPr>
          <w:b/>
          <w:szCs w:val="20"/>
        </w:rPr>
        <w:t>, celková cena ani předmět díla či termín plnění se nemění.</w:t>
      </w:r>
    </w:p>
    <w:p w14:paraId="439F83B9" w14:textId="2E6BD180" w:rsidR="00FC5AA2" w:rsidRPr="008870C0" w:rsidRDefault="00FC5AA2" w:rsidP="00FC5AA2">
      <w:pPr>
        <w:numPr>
          <w:ilvl w:val="0"/>
          <w:numId w:val="16"/>
        </w:numPr>
        <w:spacing w:after="240"/>
        <w:jc w:val="both"/>
        <w:rPr>
          <w:szCs w:val="20"/>
        </w:rPr>
      </w:pPr>
      <w:r w:rsidRPr="008870C0">
        <w:rPr>
          <w:b/>
          <w:szCs w:val="20"/>
        </w:rPr>
        <w:t xml:space="preserve">Ve Smlouvě v čl. I. Účel a předmět Smlouvy </w:t>
      </w:r>
      <w:r w:rsidRPr="008870C0">
        <w:rPr>
          <w:szCs w:val="20"/>
        </w:rPr>
        <w:t xml:space="preserve">se </w:t>
      </w:r>
      <w:r w:rsidR="00880FA3" w:rsidRPr="008870C0">
        <w:rPr>
          <w:szCs w:val="20"/>
        </w:rPr>
        <w:t xml:space="preserve">v důsledku změn předmětu plnění dle Smlouvy </w:t>
      </w:r>
      <w:r w:rsidR="007F4EEC" w:rsidRPr="008870C0">
        <w:rPr>
          <w:szCs w:val="20"/>
        </w:rPr>
        <w:t>(</w:t>
      </w:r>
      <w:r w:rsidR="00880FA3" w:rsidRPr="008870C0">
        <w:rPr>
          <w:szCs w:val="20"/>
        </w:rPr>
        <w:t xml:space="preserve">viz výše) </w:t>
      </w:r>
      <w:r w:rsidRPr="008870C0">
        <w:rPr>
          <w:szCs w:val="20"/>
        </w:rPr>
        <w:t xml:space="preserve">mění a doplňuje text v </w:t>
      </w:r>
      <w:r w:rsidRPr="008870C0">
        <w:rPr>
          <w:b/>
          <w:szCs w:val="20"/>
        </w:rPr>
        <w:t xml:space="preserve">odstavci č. </w:t>
      </w:r>
      <w:r w:rsidR="00A44762" w:rsidRPr="008870C0">
        <w:rPr>
          <w:b/>
          <w:szCs w:val="20"/>
        </w:rPr>
        <w:t>2</w:t>
      </w:r>
      <w:r w:rsidRPr="008870C0">
        <w:rPr>
          <w:szCs w:val="20"/>
        </w:rPr>
        <w:t xml:space="preserve"> takto: </w:t>
      </w:r>
    </w:p>
    <w:p w14:paraId="504A227B" w14:textId="61691DCB" w:rsidR="00A44762" w:rsidRPr="008870C0" w:rsidRDefault="00FC5AA2" w:rsidP="00A44762">
      <w:pPr>
        <w:spacing w:after="240"/>
        <w:ind w:left="567" w:hanging="283"/>
        <w:jc w:val="both"/>
        <w:rPr>
          <w:szCs w:val="20"/>
        </w:rPr>
      </w:pPr>
      <w:r w:rsidRPr="008870C0">
        <w:rPr>
          <w:szCs w:val="20"/>
        </w:rPr>
        <w:t>„</w:t>
      </w:r>
      <w:r w:rsidR="00A44762" w:rsidRPr="008870C0">
        <w:rPr>
          <w:szCs w:val="20"/>
        </w:rPr>
        <w:t xml:space="preserve">2. </w:t>
      </w:r>
      <w:r w:rsidR="00A44762" w:rsidRPr="008870C0">
        <w:rPr>
          <w:b/>
          <w:bCs/>
          <w:szCs w:val="20"/>
        </w:rPr>
        <w:t xml:space="preserve">Předmětem </w:t>
      </w:r>
      <w:r w:rsidR="00A44762" w:rsidRPr="008870C0">
        <w:rPr>
          <w:szCs w:val="20"/>
        </w:rPr>
        <w:t xml:space="preserve">Smlouvy je závazek Zhotovitele provést pro Objednatele dílo, projektovou dokumentaci a poskytnout dále uvedené související služby, novostavby městského bytového domu. Projekční práce spočívají ve vypracování projektové dokumentace ve stupních: studie, projektu pro společné povolení vč. zajištění inženýringu, tj. souhlasného projednání s dotčenými orgány a získání stavebního povolení/projektu pro provádění stavby. Dále vypracování položkového soupisu stavebních prací, dodávek a služeb s výkazem výměr a rozpočtu. </w:t>
      </w:r>
    </w:p>
    <w:p w14:paraId="4719B2B5" w14:textId="77777777" w:rsidR="00A44762" w:rsidRPr="008870C0" w:rsidRDefault="00A44762" w:rsidP="00A44762">
      <w:pPr>
        <w:spacing w:after="240"/>
        <w:ind w:left="567"/>
        <w:jc w:val="both"/>
        <w:rPr>
          <w:szCs w:val="20"/>
        </w:rPr>
      </w:pPr>
      <w:r w:rsidRPr="008870C0">
        <w:rPr>
          <w:szCs w:val="20"/>
        </w:rPr>
        <w:t xml:space="preserve">Soutěžní zadání počítalo s celkovou plochou pozemků parc. č. 291 a parc. č. 292 a se započtením přilehlých ulic, celkově tedy s 1346 m², s tím že zastavitelná plocha je vymezena parcelami č. 291 a č. 292 o celkové rozloze 783 m2. Maximální kapacita HPP se na základě podmínek soutěže o návrh a </w:t>
      </w:r>
      <w:r w:rsidRPr="008870C0">
        <w:rPr>
          <w:b/>
          <w:bCs/>
          <w:szCs w:val="20"/>
        </w:rPr>
        <w:t xml:space="preserve">změny územního plánu předpokládá 3500 m² (dále také „řešené území“). </w:t>
      </w:r>
    </w:p>
    <w:p w14:paraId="3FE9A46B" w14:textId="77777777" w:rsidR="00A44762" w:rsidRPr="008870C0" w:rsidRDefault="00A44762" w:rsidP="00A44762">
      <w:pPr>
        <w:spacing w:after="240"/>
        <w:ind w:left="567"/>
        <w:jc w:val="both"/>
        <w:rPr>
          <w:szCs w:val="20"/>
        </w:rPr>
      </w:pPr>
      <w:r w:rsidRPr="008870C0">
        <w:rPr>
          <w:szCs w:val="20"/>
        </w:rPr>
        <w:lastRenderedPageBreak/>
        <w:t xml:space="preserve">Návrh řešení pro přilehlý veřejný prostor bude taktéž součástí PD v rámci řešeného území. </w:t>
      </w:r>
    </w:p>
    <w:p w14:paraId="01556E79" w14:textId="77777777" w:rsidR="00A44762" w:rsidRPr="008870C0" w:rsidRDefault="00A44762" w:rsidP="00A44762">
      <w:pPr>
        <w:spacing w:after="240"/>
        <w:ind w:left="567"/>
        <w:jc w:val="both"/>
        <w:rPr>
          <w:szCs w:val="22"/>
        </w:rPr>
      </w:pPr>
      <w:r w:rsidRPr="008870C0">
        <w:rPr>
          <w:szCs w:val="22"/>
        </w:rPr>
        <w:t xml:space="preserve">Dílo bude realizováno v rámci řešeného území znázorněného v Příloze č. 4 této Smlouvy řešené území. </w:t>
      </w:r>
    </w:p>
    <w:p w14:paraId="457BC404" w14:textId="77777777" w:rsidR="00A44762" w:rsidRPr="008870C0" w:rsidRDefault="00A44762" w:rsidP="00A44762">
      <w:pPr>
        <w:spacing w:after="240"/>
        <w:ind w:left="567"/>
        <w:jc w:val="both"/>
        <w:rPr>
          <w:szCs w:val="22"/>
        </w:rPr>
      </w:pPr>
      <w:r w:rsidRPr="008870C0">
        <w:rPr>
          <w:szCs w:val="22"/>
        </w:rPr>
        <w:t xml:space="preserve">Požadavek Objednatele na práce nad územní rozsah řešeného území nebo požadavky vyvolané mimořádnými nepředvídatelnými okolnostmi, které nebylo možné ani při vynaložení potřebné péče předpokládat, budou považovány za vícepráce. </w:t>
      </w:r>
    </w:p>
    <w:p w14:paraId="41F3CBE8" w14:textId="46559430" w:rsidR="00A44762" w:rsidRPr="008870C0" w:rsidRDefault="00A44762" w:rsidP="00F31FDF">
      <w:pPr>
        <w:ind w:left="340" w:firstLine="227"/>
        <w:jc w:val="both"/>
        <w:rPr>
          <w:szCs w:val="22"/>
        </w:rPr>
      </w:pPr>
      <w:r w:rsidRPr="008870C0">
        <w:rPr>
          <w:szCs w:val="22"/>
        </w:rPr>
        <w:t>Dílo bude věcně i časově rozděleno dále následujícím způsobem:</w:t>
      </w:r>
    </w:p>
    <w:p w14:paraId="16CE5251" w14:textId="43EAFA6F" w:rsidR="00A44762" w:rsidRPr="008870C0" w:rsidRDefault="00A44762" w:rsidP="00A44762">
      <w:pPr>
        <w:ind w:left="567"/>
        <w:jc w:val="both"/>
        <w:rPr>
          <w:szCs w:val="22"/>
        </w:rPr>
      </w:pPr>
      <w:r w:rsidRPr="008870C0">
        <w:rPr>
          <w:b/>
          <w:bCs/>
          <w:szCs w:val="22"/>
        </w:rPr>
        <w:t xml:space="preserve">1. Etapa </w:t>
      </w:r>
      <w:r w:rsidRPr="008870C0">
        <w:rPr>
          <w:b/>
          <w:bCs/>
          <w:szCs w:val="22"/>
        </w:rPr>
        <w:tab/>
        <w:t xml:space="preserve">Dopracování architektonické studie, </w:t>
      </w:r>
    </w:p>
    <w:p w14:paraId="07DEDE0E" w14:textId="77777777" w:rsidR="00A44762" w:rsidRPr="008870C0" w:rsidRDefault="00A44762" w:rsidP="00A44762">
      <w:pPr>
        <w:ind w:left="2124"/>
        <w:jc w:val="both"/>
        <w:rPr>
          <w:szCs w:val="22"/>
        </w:rPr>
      </w:pPr>
      <w:r w:rsidRPr="008870C0">
        <w:rPr>
          <w:szCs w:val="22"/>
        </w:rPr>
        <w:t xml:space="preserve">včetně zajištění průzkumů měření (vyjma archeologického průzkumu, který není součástí plnění dle této Smlouvy) v rozsahu potřeby zhotovované projektové dokumentace. </w:t>
      </w:r>
    </w:p>
    <w:p w14:paraId="0BF97E41" w14:textId="0180D533" w:rsidR="00A44762" w:rsidRPr="008870C0" w:rsidRDefault="00A44762" w:rsidP="00A44762">
      <w:pPr>
        <w:ind w:left="340" w:firstLine="368"/>
        <w:jc w:val="both"/>
        <w:rPr>
          <w:szCs w:val="22"/>
        </w:rPr>
      </w:pPr>
      <w:r w:rsidRPr="008870C0">
        <w:rPr>
          <w:b/>
          <w:bCs/>
          <w:szCs w:val="22"/>
        </w:rPr>
        <w:t xml:space="preserve">2. Etapa </w:t>
      </w:r>
      <w:r w:rsidRPr="008870C0">
        <w:rPr>
          <w:b/>
          <w:bCs/>
          <w:szCs w:val="22"/>
        </w:rPr>
        <w:tab/>
        <w:t xml:space="preserve">Vypracování PD pro Společné územní a stavební řízení vč. </w:t>
      </w:r>
    </w:p>
    <w:p w14:paraId="629C56E1" w14:textId="66F7AAF5" w:rsidR="00A44762" w:rsidRPr="008870C0" w:rsidRDefault="00A44762" w:rsidP="00A44762">
      <w:pPr>
        <w:ind w:left="2124"/>
        <w:jc w:val="both"/>
        <w:rPr>
          <w:szCs w:val="22"/>
        </w:rPr>
      </w:pPr>
      <w:r w:rsidRPr="008870C0">
        <w:rPr>
          <w:b/>
          <w:bCs/>
          <w:szCs w:val="22"/>
        </w:rPr>
        <w:t xml:space="preserve">zjednodušeného rozpočtu stavby </w:t>
      </w:r>
      <w:r w:rsidRPr="008870C0">
        <w:rPr>
          <w:b/>
          <w:bCs/>
          <w:i/>
          <w:iCs/>
          <w:szCs w:val="22"/>
        </w:rPr>
        <w:t xml:space="preserve">(„DUR“ a „DSP“) </w:t>
      </w:r>
      <w:r w:rsidRPr="008870C0">
        <w:rPr>
          <w:i/>
          <w:iCs/>
          <w:szCs w:val="22"/>
        </w:rPr>
        <w:t xml:space="preserve">dle platných vyhlášek, vč. inženýrské činnosti veřejnoprávního projednání a zajištění kladných vyjádření DOSS a podání žádosti o Společné územní a stavební řízení. </w:t>
      </w:r>
    </w:p>
    <w:p w14:paraId="1DE3F39D" w14:textId="2EB2387A" w:rsidR="00A44762" w:rsidRPr="008870C0" w:rsidRDefault="00A44762" w:rsidP="00A44762">
      <w:pPr>
        <w:ind w:left="2124" w:hanging="1416"/>
        <w:jc w:val="both"/>
        <w:rPr>
          <w:szCs w:val="22"/>
        </w:rPr>
      </w:pPr>
      <w:r w:rsidRPr="008870C0">
        <w:rPr>
          <w:b/>
          <w:bCs/>
          <w:szCs w:val="22"/>
        </w:rPr>
        <w:t xml:space="preserve">3. Etapa </w:t>
      </w:r>
      <w:r w:rsidRPr="008870C0">
        <w:rPr>
          <w:b/>
          <w:bCs/>
          <w:szCs w:val="22"/>
        </w:rPr>
        <w:tab/>
        <w:t xml:space="preserve">Vypracování Projektové dokumentace pro provádění stavby </w:t>
      </w:r>
      <w:r w:rsidRPr="008870C0">
        <w:rPr>
          <w:b/>
          <w:bCs/>
          <w:i/>
          <w:iCs/>
          <w:szCs w:val="22"/>
        </w:rPr>
        <w:t>(„DPS“)</w:t>
      </w:r>
      <w:r w:rsidRPr="008870C0">
        <w:rPr>
          <w:i/>
          <w:iCs/>
          <w:szCs w:val="22"/>
        </w:rPr>
        <w:t xml:space="preserve">, včetně položkového soupisu prací, dodávek a služeb (výkazu výměr) a kontrolního rozpočtu stavby (vše dle vyhl. 169/2016 Sb., o stanovení rozsahu dokumentace veřejné zakázky na stavební práce a soupisu stavebních prací, dodávek a služeb s výkazem výměr), a to v aktuální platné cenové soustavě URS nebo RTS ke dni předání této etapy. Položkový rozpočet s výkazem výměr bude navázán v maximální možné míře na položky aktuálně platné cenové soustavy URS nebo RTS. </w:t>
      </w:r>
    </w:p>
    <w:p w14:paraId="4D05A09B" w14:textId="47EFBB44" w:rsidR="00A44762" w:rsidRPr="008870C0" w:rsidRDefault="009717FC" w:rsidP="009717FC">
      <w:pPr>
        <w:ind w:left="340" w:firstLine="369"/>
        <w:jc w:val="both"/>
        <w:rPr>
          <w:szCs w:val="22"/>
        </w:rPr>
      </w:pPr>
      <w:r w:rsidRPr="008870C0">
        <w:rPr>
          <w:b/>
          <w:bCs/>
          <w:szCs w:val="22"/>
        </w:rPr>
        <w:t xml:space="preserve">4. Etapa </w:t>
      </w:r>
      <w:r w:rsidRPr="008870C0">
        <w:rPr>
          <w:b/>
          <w:bCs/>
          <w:szCs w:val="22"/>
        </w:rPr>
        <w:tab/>
      </w:r>
      <w:r w:rsidR="00A44762" w:rsidRPr="008870C0">
        <w:rPr>
          <w:b/>
          <w:bCs/>
          <w:szCs w:val="22"/>
        </w:rPr>
        <w:t xml:space="preserve">Poskytnutí součinnosti při výběru dodavatele stavby - </w:t>
      </w:r>
    </w:p>
    <w:p w14:paraId="53A79C5B" w14:textId="77777777" w:rsidR="00A44762" w:rsidRPr="008870C0" w:rsidRDefault="00A44762" w:rsidP="00A44762">
      <w:pPr>
        <w:ind w:left="2124"/>
        <w:jc w:val="both"/>
        <w:rPr>
          <w:szCs w:val="22"/>
        </w:rPr>
      </w:pPr>
      <w:r w:rsidRPr="008870C0">
        <w:rPr>
          <w:i/>
          <w:iCs/>
          <w:szCs w:val="22"/>
        </w:rPr>
        <w:t xml:space="preserve">Součinnost spočívá zejména v přípravě vysvětlení zadávací dokumentace, kdy Zhotovitel nejpozději do dvou pracovních dnů ode dne obdržení požadavku Objednatele předá Objednateli příslušné vysvětlení zadávací dokumentace včetně případných úprav projektové dokumentace a soupisu stavebních prací, dodávek a služeb s výkazem výměr a dále součinnost při posouzení nabídkových cen účastníků zadávacího řízení. </w:t>
      </w:r>
    </w:p>
    <w:p w14:paraId="5E618574" w14:textId="19DC0CF3" w:rsidR="00A44762" w:rsidRPr="008870C0" w:rsidRDefault="00A44762" w:rsidP="009717FC">
      <w:pPr>
        <w:ind w:left="2124" w:hanging="1415"/>
        <w:jc w:val="both"/>
        <w:rPr>
          <w:szCs w:val="22"/>
        </w:rPr>
      </w:pPr>
      <w:r w:rsidRPr="008870C0">
        <w:rPr>
          <w:b/>
          <w:bCs/>
          <w:szCs w:val="22"/>
        </w:rPr>
        <w:t xml:space="preserve">5. Etapa </w:t>
      </w:r>
      <w:r w:rsidRPr="008870C0">
        <w:rPr>
          <w:b/>
          <w:bCs/>
          <w:szCs w:val="22"/>
        </w:rPr>
        <w:tab/>
        <w:t xml:space="preserve">Výkon autorského dozoru včetně součinnosti při přejímce a kolaudaci stavby - </w:t>
      </w:r>
      <w:r w:rsidRPr="008870C0">
        <w:rPr>
          <w:i/>
          <w:iCs/>
          <w:szCs w:val="22"/>
        </w:rPr>
        <w:t xml:space="preserve">Výkon autorského dozoru je činnost Zhotovitele (projektanta) k dokumentaci ke stavebnímu povolení nebo k dokumentaci pro provádění stavby, kterou se ověřuje soulad prováděné stavby s touto dokumentací. Zjištěné nedostatky a návrh na jejich odstranění včetně způsobu a postupu se zapisují do stavebního deníku, příp. Zhotovitel předá Objednateli návrhy úpravy projektových dokumentací. Rozsah výkonu autorského dozoru bude řádně evidován ve stavebním deníku během realizace stavby. Výkon autorského dozoru bude vykonáván min. 1 x týdně, jinak dle potřeby postupu výstavby, a to případně i ve dnech pracovního volna nebo klidu. Pro vyloučení pochybností Smluvní strany konstatují, že výkon autorského dozoru nenahrazuje služby plněné v rámci technického dozoru investora (TDI). </w:t>
      </w:r>
    </w:p>
    <w:p w14:paraId="65EB45E8" w14:textId="53C809C1" w:rsidR="00A44762" w:rsidRPr="008870C0" w:rsidRDefault="00A44762" w:rsidP="009717FC">
      <w:pPr>
        <w:spacing w:after="240"/>
        <w:ind w:left="2124" w:hanging="1415"/>
        <w:jc w:val="both"/>
        <w:rPr>
          <w:szCs w:val="22"/>
        </w:rPr>
      </w:pPr>
      <w:r w:rsidRPr="008870C0">
        <w:rPr>
          <w:b/>
          <w:bCs/>
          <w:szCs w:val="22"/>
        </w:rPr>
        <w:t xml:space="preserve">6. Etapa </w:t>
      </w:r>
      <w:r w:rsidRPr="008870C0">
        <w:rPr>
          <w:b/>
          <w:bCs/>
          <w:szCs w:val="22"/>
        </w:rPr>
        <w:tab/>
        <w:t xml:space="preserve">Změna vyhrazená – </w:t>
      </w:r>
      <w:r w:rsidRPr="008870C0">
        <w:rPr>
          <w:szCs w:val="22"/>
        </w:rPr>
        <w:t xml:space="preserve">dle § 100 odst. 1 zák. č. 134/2016 Sb., o zadávání veřejných zakázek </w:t>
      </w:r>
      <w:r w:rsidRPr="008870C0">
        <w:rPr>
          <w:i/>
          <w:iCs/>
          <w:szCs w:val="22"/>
        </w:rPr>
        <w:t xml:space="preserve">(dále „ZZVZ“), </w:t>
      </w:r>
      <w:r w:rsidRPr="008870C0">
        <w:rPr>
          <w:szCs w:val="22"/>
        </w:rPr>
        <w:t xml:space="preserve">o aktualizace soupisu stavebních prací, dodávek a služeb viz čl. II odst. 1 této Smlouvy. </w:t>
      </w:r>
    </w:p>
    <w:p w14:paraId="30478AAB" w14:textId="49BF3783" w:rsidR="00FC5AA2" w:rsidRPr="008870C0" w:rsidRDefault="00A44762" w:rsidP="00A44762">
      <w:pPr>
        <w:ind w:left="2124"/>
        <w:jc w:val="both"/>
        <w:rPr>
          <w:szCs w:val="22"/>
        </w:rPr>
      </w:pPr>
      <w:r w:rsidRPr="008870C0">
        <w:rPr>
          <w:szCs w:val="22"/>
        </w:rPr>
        <w:t xml:space="preserve">Dále si Objednatel vyhrazuje právo využít </w:t>
      </w:r>
      <w:r w:rsidRPr="008870C0">
        <w:rPr>
          <w:b/>
          <w:bCs/>
          <w:szCs w:val="22"/>
        </w:rPr>
        <w:t xml:space="preserve">změny vyhrazené dle §100 odst. 3 ZZVZ </w:t>
      </w:r>
      <w:r w:rsidRPr="008870C0">
        <w:rPr>
          <w:szCs w:val="22"/>
        </w:rPr>
        <w:t xml:space="preserve">pro zajištění inženýrské činnosti vč. Veřejnoprávního projednání a zajištění kladných vyjádření DOSS a územního a </w:t>
      </w:r>
      <w:r w:rsidRPr="008870C0">
        <w:rPr>
          <w:szCs w:val="22"/>
        </w:rPr>
        <w:lastRenderedPageBreak/>
        <w:t xml:space="preserve">stavebního povolení/ změny stavby, a to pro případ, že bude nutno zajistit změnu stavby po odevzdání PD ve stupni pro provedení stavby (3. etapa). Dále bude postupováno dle §100 odst. 3 v případě potřeby aktualizace PD ve stupni DPS nebo prodloužení výkonu autorského dozoru nad rámec hodin uvedených v této Smlouvě – nepředvídatelné prodloužení realizace stavebních prací. Dále bude postupováno dle §100 odst. 3 v případě legislativních změn stavebních předpisů, pokud pro takové změny bude třeba jakoukoliv část projektové dokumentace vytvořené v rámci jednotlivých </w:t>
      </w:r>
      <w:r w:rsidR="003C15F0">
        <w:rPr>
          <w:szCs w:val="22"/>
        </w:rPr>
        <w:t>e</w:t>
      </w:r>
      <w:r w:rsidRPr="008870C0">
        <w:rPr>
          <w:szCs w:val="22"/>
        </w:rPr>
        <w:t>tap přepracovat.</w:t>
      </w:r>
      <w:r w:rsidR="00FC5AA2" w:rsidRPr="008870C0">
        <w:rPr>
          <w:szCs w:val="22"/>
        </w:rPr>
        <w:t>“</w:t>
      </w:r>
      <w:r w:rsidR="00F24F01" w:rsidRPr="008870C0">
        <w:rPr>
          <w:szCs w:val="22"/>
        </w:rPr>
        <w:t>.</w:t>
      </w:r>
    </w:p>
    <w:p w14:paraId="6C4E929B" w14:textId="77777777" w:rsidR="00A44762" w:rsidRPr="008870C0" w:rsidRDefault="00A44762" w:rsidP="00A44762">
      <w:pPr>
        <w:ind w:left="340"/>
        <w:jc w:val="both"/>
        <w:rPr>
          <w:szCs w:val="22"/>
        </w:rPr>
      </w:pPr>
    </w:p>
    <w:p w14:paraId="53F565A1" w14:textId="5909EB44" w:rsidR="007825C0" w:rsidRPr="008870C0" w:rsidRDefault="0057696E" w:rsidP="007825C0">
      <w:pPr>
        <w:numPr>
          <w:ilvl w:val="0"/>
          <w:numId w:val="16"/>
        </w:numPr>
        <w:jc w:val="both"/>
        <w:rPr>
          <w:szCs w:val="22"/>
        </w:rPr>
      </w:pPr>
      <w:r w:rsidRPr="008870C0">
        <w:rPr>
          <w:b/>
          <w:szCs w:val="22"/>
        </w:rPr>
        <w:t>Ve Smlouvě v čl. I</w:t>
      </w:r>
      <w:r w:rsidR="007825C0" w:rsidRPr="008870C0">
        <w:rPr>
          <w:b/>
          <w:szCs w:val="22"/>
        </w:rPr>
        <w:t>V</w:t>
      </w:r>
      <w:r w:rsidRPr="008870C0">
        <w:rPr>
          <w:b/>
          <w:szCs w:val="22"/>
        </w:rPr>
        <w:t xml:space="preserve">. </w:t>
      </w:r>
      <w:r w:rsidR="007825C0" w:rsidRPr="008870C0">
        <w:rPr>
          <w:b/>
          <w:szCs w:val="22"/>
        </w:rPr>
        <w:t xml:space="preserve">Cena díla </w:t>
      </w:r>
      <w:r w:rsidRPr="008870C0">
        <w:rPr>
          <w:szCs w:val="22"/>
        </w:rPr>
        <w:t xml:space="preserve">se </w:t>
      </w:r>
      <w:r w:rsidR="007825C0" w:rsidRPr="008870C0">
        <w:rPr>
          <w:szCs w:val="22"/>
        </w:rPr>
        <w:t xml:space="preserve">v tabulce v </w:t>
      </w:r>
      <w:r w:rsidR="007825C0" w:rsidRPr="008870C0">
        <w:rPr>
          <w:b/>
          <w:szCs w:val="22"/>
        </w:rPr>
        <w:t>odstavci č. 1</w:t>
      </w:r>
      <w:r w:rsidR="007825C0" w:rsidRPr="008870C0">
        <w:rPr>
          <w:szCs w:val="22"/>
        </w:rPr>
        <w:t xml:space="preserve"> </w:t>
      </w:r>
      <w:r w:rsidRPr="008870C0">
        <w:rPr>
          <w:szCs w:val="22"/>
        </w:rPr>
        <w:t xml:space="preserve">mění a doplňuje </w:t>
      </w:r>
      <w:r w:rsidR="00FC5AA2" w:rsidRPr="008870C0">
        <w:rPr>
          <w:szCs w:val="22"/>
        </w:rPr>
        <w:t>text</w:t>
      </w:r>
      <w:r w:rsidRPr="008870C0">
        <w:rPr>
          <w:szCs w:val="22"/>
        </w:rPr>
        <w:t xml:space="preserve"> takto: </w:t>
      </w:r>
    </w:p>
    <w:p w14:paraId="6C9372FB" w14:textId="40A35CF0" w:rsidR="007825C0" w:rsidRPr="008870C0" w:rsidRDefault="007825C0" w:rsidP="007825C0">
      <w:pPr>
        <w:jc w:val="both"/>
        <w:rPr>
          <w:szCs w:val="22"/>
        </w:rPr>
      </w:pPr>
      <w:r w:rsidRPr="008870C0">
        <w:rPr>
          <w:b/>
          <w:szCs w:val="22"/>
        </w:rPr>
        <w:t>„</w:t>
      </w: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6088"/>
        <w:gridCol w:w="2600"/>
      </w:tblGrid>
      <w:tr w:rsidR="007825C0" w:rsidRPr="007825C0" w14:paraId="29AB17EA" w14:textId="77777777" w:rsidTr="0062370E">
        <w:tc>
          <w:tcPr>
            <w:tcW w:w="6088" w:type="dxa"/>
            <w:tcBorders>
              <w:top w:val="single" w:sz="12" w:space="0" w:color="auto"/>
              <w:left w:val="single" w:sz="12" w:space="0" w:color="auto"/>
              <w:bottom w:val="single" w:sz="6" w:space="0" w:color="000000"/>
              <w:right w:val="single" w:sz="6" w:space="0" w:color="000000"/>
            </w:tcBorders>
          </w:tcPr>
          <w:p w14:paraId="0848ADA7" w14:textId="77777777" w:rsidR="007825C0" w:rsidRPr="003C15F0" w:rsidRDefault="007825C0" w:rsidP="007825C0">
            <w:pPr>
              <w:numPr>
                <w:ilvl w:val="0"/>
                <w:numId w:val="26"/>
              </w:numPr>
              <w:suppressAutoHyphens w:val="0"/>
              <w:autoSpaceDE w:val="0"/>
              <w:autoSpaceDN w:val="0"/>
              <w:adjustRightInd w:val="0"/>
              <w:spacing w:before="120"/>
              <w:ind w:left="412" w:hanging="284"/>
              <w:contextualSpacing/>
              <w:jc w:val="both"/>
              <w:rPr>
                <w:sz w:val="20"/>
                <w:szCs w:val="20"/>
                <w:lang w:eastAsia="en-US"/>
              </w:rPr>
            </w:pPr>
            <w:r w:rsidRPr="003C15F0">
              <w:rPr>
                <w:b/>
                <w:sz w:val="20"/>
                <w:szCs w:val="20"/>
                <w:lang w:eastAsia="en-US"/>
              </w:rPr>
              <w:t>ETAPA – vypracování architektonické studie členěno na části:</w:t>
            </w:r>
          </w:p>
          <w:p w14:paraId="673AA32D" w14:textId="77777777" w:rsidR="007825C0" w:rsidRPr="003C15F0" w:rsidRDefault="007825C0" w:rsidP="007825C0">
            <w:pPr>
              <w:suppressAutoHyphens w:val="0"/>
              <w:autoSpaceDE w:val="0"/>
              <w:autoSpaceDN w:val="0"/>
              <w:adjustRightInd w:val="0"/>
              <w:spacing w:before="120"/>
              <w:ind w:left="837" w:hanging="425"/>
              <w:jc w:val="both"/>
              <w:rPr>
                <w:bCs/>
                <w:sz w:val="20"/>
                <w:szCs w:val="20"/>
                <w:lang w:eastAsia="en-US"/>
              </w:rPr>
            </w:pPr>
            <w:r w:rsidRPr="003C15F0">
              <w:rPr>
                <w:bCs/>
                <w:sz w:val="20"/>
                <w:szCs w:val="20"/>
                <w:lang w:eastAsia="en-US"/>
              </w:rPr>
              <w:t>1a) zajištění průzkumů a dokončení přípravných prací a předání jejich výsledků</w:t>
            </w:r>
          </w:p>
          <w:p w14:paraId="4F92E870" w14:textId="77777777" w:rsidR="007825C0" w:rsidRPr="003C15F0" w:rsidRDefault="007825C0" w:rsidP="007825C0">
            <w:pPr>
              <w:suppressAutoHyphens w:val="0"/>
              <w:autoSpaceDE w:val="0"/>
              <w:autoSpaceDN w:val="0"/>
              <w:adjustRightInd w:val="0"/>
              <w:spacing w:before="120" w:after="240"/>
              <w:ind w:left="837" w:hanging="425"/>
              <w:jc w:val="both"/>
              <w:rPr>
                <w:sz w:val="20"/>
                <w:szCs w:val="20"/>
                <w:lang w:eastAsia="en-US"/>
              </w:rPr>
            </w:pPr>
            <w:r w:rsidRPr="003C15F0">
              <w:rPr>
                <w:bCs/>
                <w:sz w:val="20"/>
                <w:szCs w:val="20"/>
                <w:lang w:eastAsia="en-US"/>
              </w:rPr>
              <w:t xml:space="preserve">1b) architektonická studie    </w:t>
            </w:r>
          </w:p>
        </w:tc>
        <w:tc>
          <w:tcPr>
            <w:tcW w:w="2600" w:type="dxa"/>
            <w:tcBorders>
              <w:top w:val="single" w:sz="12" w:space="0" w:color="auto"/>
              <w:left w:val="single" w:sz="6" w:space="0" w:color="000000"/>
              <w:bottom w:val="single" w:sz="6" w:space="0" w:color="000000"/>
              <w:right w:val="single" w:sz="12" w:space="0" w:color="auto"/>
            </w:tcBorders>
          </w:tcPr>
          <w:p w14:paraId="51EBEA87" w14:textId="625D6206" w:rsidR="007825C0" w:rsidRPr="003C15F0" w:rsidRDefault="003C15F0" w:rsidP="007825C0">
            <w:pPr>
              <w:tabs>
                <w:tab w:val="left" w:pos="708"/>
                <w:tab w:val="center" w:pos="4536"/>
                <w:tab w:val="right" w:pos="9072"/>
              </w:tabs>
              <w:suppressAutoHyphens w:val="0"/>
              <w:spacing w:before="120"/>
              <w:jc w:val="both"/>
              <w:rPr>
                <w:b/>
                <w:bCs/>
                <w:sz w:val="20"/>
                <w:szCs w:val="20"/>
                <w:lang w:eastAsia="en-US"/>
              </w:rPr>
            </w:pPr>
            <w:r w:rsidRPr="003C15F0">
              <w:rPr>
                <w:b/>
                <w:sz w:val="20"/>
                <w:szCs w:val="20"/>
                <w:lang w:eastAsia="en-US"/>
              </w:rPr>
              <w:t xml:space="preserve">        </w:t>
            </w:r>
            <w:r w:rsidR="008870C0" w:rsidRPr="003C15F0">
              <w:rPr>
                <w:b/>
                <w:sz w:val="20"/>
                <w:szCs w:val="20"/>
                <w:lang w:eastAsia="en-US"/>
              </w:rPr>
              <w:t>3 030 000 Kč</w:t>
            </w:r>
            <w:r w:rsidR="007825C0" w:rsidRPr="003C15F0">
              <w:rPr>
                <w:b/>
                <w:bCs/>
                <w:sz w:val="20"/>
                <w:szCs w:val="20"/>
                <w:lang w:eastAsia="en-US"/>
              </w:rPr>
              <w:t xml:space="preserve"> bez DPH</w:t>
            </w:r>
          </w:p>
          <w:p w14:paraId="62910EB7" w14:textId="77777777" w:rsidR="007825C0" w:rsidRPr="003C15F0" w:rsidRDefault="007825C0" w:rsidP="007825C0">
            <w:pPr>
              <w:tabs>
                <w:tab w:val="left" w:pos="708"/>
                <w:tab w:val="center" w:pos="4536"/>
                <w:tab w:val="right" w:pos="9072"/>
              </w:tabs>
              <w:suppressAutoHyphens w:val="0"/>
              <w:spacing w:before="120"/>
              <w:jc w:val="both"/>
              <w:rPr>
                <w:bCs/>
                <w:sz w:val="20"/>
                <w:szCs w:val="20"/>
                <w:lang w:eastAsia="en-US"/>
              </w:rPr>
            </w:pPr>
          </w:p>
          <w:p w14:paraId="71EE5BDE" w14:textId="237ED4A2" w:rsidR="007825C0" w:rsidRPr="003C15F0" w:rsidRDefault="003C15F0" w:rsidP="007825C0">
            <w:pPr>
              <w:tabs>
                <w:tab w:val="left" w:pos="708"/>
                <w:tab w:val="center" w:pos="4536"/>
                <w:tab w:val="right" w:pos="9072"/>
              </w:tabs>
              <w:suppressAutoHyphens w:val="0"/>
              <w:spacing w:before="120"/>
              <w:jc w:val="both"/>
              <w:rPr>
                <w:bCs/>
                <w:i/>
                <w:sz w:val="20"/>
                <w:szCs w:val="20"/>
                <w:lang w:eastAsia="en-US"/>
              </w:rPr>
            </w:pPr>
            <w:r w:rsidRPr="003C15F0">
              <w:rPr>
                <w:bCs/>
                <w:i/>
                <w:sz w:val="20"/>
                <w:szCs w:val="20"/>
                <w:lang w:eastAsia="en-US"/>
              </w:rPr>
              <w:t xml:space="preserve">        </w:t>
            </w:r>
            <w:r w:rsidR="007825C0" w:rsidRPr="003C15F0">
              <w:rPr>
                <w:bCs/>
                <w:i/>
                <w:sz w:val="20"/>
                <w:szCs w:val="20"/>
                <w:lang w:eastAsia="en-US"/>
              </w:rPr>
              <w:t xml:space="preserve">1 030 000 Kč bez DPH </w:t>
            </w:r>
          </w:p>
          <w:p w14:paraId="6047483C" w14:textId="5C8633D2" w:rsidR="007825C0" w:rsidRPr="003C15F0" w:rsidRDefault="003C15F0" w:rsidP="007825C0">
            <w:pPr>
              <w:tabs>
                <w:tab w:val="left" w:pos="708"/>
                <w:tab w:val="center" w:pos="4536"/>
                <w:tab w:val="right" w:pos="9072"/>
              </w:tabs>
              <w:suppressAutoHyphens w:val="0"/>
              <w:spacing w:before="120"/>
              <w:jc w:val="both"/>
              <w:rPr>
                <w:bCs/>
                <w:sz w:val="20"/>
                <w:szCs w:val="20"/>
                <w:lang w:eastAsia="en-US"/>
              </w:rPr>
            </w:pPr>
            <w:r w:rsidRPr="003C15F0">
              <w:rPr>
                <w:bCs/>
                <w:i/>
                <w:sz w:val="20"/>
                <w:szCs w:val="20"/>
                <w:lang w:eastAsia="en-US"/>
              </w:rPr>
              <w:t xml:space="preserve">        </w:t>
            </w:r>
            <w:r w:rsidR="007825C0" w:rsidRPr="003C15F0">
              <w:rPr>
                <w:bCs/>
                <w:i/>
                <w:sz w:val="20"/>
                <w:szCs w:val="20"/>
                <w:lang w:eastAsia="en-US"/>
              </w:rPr>
              <w:t>2 000 000 Kč bez DPH</w:t>
            </w:r>
            <w:r w:rsidR="007825C0" w:rsidRPr="003C15F0">
              <w:rPr>
                <w:bCs/>
                <w:sz w:val="20"/>
                <w:szCs w:val="20"/>
                <w:lang w:eastAsia="en-US"/>
              </w:rPr>
              <w:t xml:space="preserve"> </w:t>
            </w:r>
          </w:p>
        </w:tc>
      </w:tr>
      <w:tr w:rsidR="007825C0" w:rsidRPr="007825C0" w14:paraId="633A2B53" w14:textId="77777777" w:rsidTr="00405E2E">
        <w:trPr>
          <w:trHeight w:val="1227"/>
        </w:trPr>
        <w:tc>
          <w:tcPr>
            <w:tcW w:w="6088" w:type="dxa"/>
            <w:tcBorders>
              <w:top w:val="single" w:sz="12" w:space="0" w:color="auto"/>
              <w:left w:val="single" w:sz="12" w:space="0" w:color="auto"/>
              <w:bottom w:val="single" w:sz="6" w:space="0" w:color="000000"/>
              <w:right w:val="single" w:sz="6" w:space="0" w:color="000000"/>
            </w:tcBorders>
            <w:shd w:val="clear" w:color="auto" w:fill="auto"/>
          </w:tcPr>
          <w:p w14:paraId="23C137FD" w14:textId="1AEB86EF" w:rsidR="007825C0" w:rsidRPr="003C15F0" w:rsidRDefault="003C15F0" w:rsidP="00405E2E">
            <w:pPr>
              <w:numPr>
                <w:ilvl w:val="0"/>
                <w:numId w:val="26"/>
              </w:numPr>
              <w:suppressAutoHyphens w:val="0"/>
              <w:autoSpaceDE w:val="0"/>
              <w:autoSpaceDN w:val="0"/>
              <w:adjustRightInd w:val="0"/>
              <w:spacing w:before="120"/>
              <w:ind w:left="412" w:hanging="284"/>
              <w:contextualSpacing/>
              <w:jc w:val="both"/>
              <w:rPr>
                <w:b/>
                <w:sz w:val="20"/>
                <w:szCs w:val="20"/>
                <w:lang w:eastAsia="en-US"/>
              </w:rPr>
            </w:pPr>
            <w:r w:rsidRPr="003C15F0">
              <w:rPr>
                <w:b/>
                <w:sz w:val="20"/>
                <w:szCs w:val="20"/>
                <w:lang w:eastAsia="en-US"/>
              </w:rPr>
              <w:t xml:space="preserve">ETAPA - </w:t>
            </w:r>
            <w:r w:rsidR="007825C0" w:rsidRPr="003C15F0">
              <w:rPr>
                <w:b/>
                <w:sz w:val="20"/>
                <w:szCs w:val="20"/>
                <w:lang w:eastAsia="en-US"/>
              </w:rPr>
              <w:t xml:space="preserve">PD pro Společné územní a stavební řízení vč. zjedn. rozpočtu stavby („DUR“ a „DSP“) </w:t>
            </w:r>
            <w:r w:rsidR="007825C0" w:rsidRPr="003C15F0">
              <w:rPr>
                <w:sz w:val="20"/>
                <w:szCs w:val="20"/>
                <w:lang w:eastAsia="en-US"/>
              </w:rPr>
              <w:t>dle platných vyhlášek, vč. veřejnoprávního projednání a zajištění kladných vyjádření DOSS a podání žádosti o Společné územní a stavební řízení</w:t>
            </w:r>
          </w:p>
        </w:tc>
        <w:tc>
          <w:tcPr>
            <w:tcW w:w="2600" w:type="dxa"/>
            <w:tcBorders>
              <w:top w:val="single" w:sz="12" w:space="0" w:color="auto"/>
              <w:left w:val="single" w:sz="6" w:space="0" w:color="000000"/>
              <w:bottom w:val="single" w:sz="6" w:space="0" w:color="000000"/>
              <w:right w:val="single" w:sz="12" w:space="0" w:color="auto"/>
            </w:tcBorders>
            <w:shd w:val="clear" w:color="auto" w:fill="auto"/>
          </w:tcPr>
          <w:p w14:paraId="468D9F6E" w14:textId="6D8A398E" w:rsidR="007825C0" w:rsidRPr="003C15F0" w:rsidRDefault="003C15F0" w:rsidP="007825C0">
            <w:pPr>
              <w:tabs>
                <w:tab w:val="left" w:pos="708"/>
                <w:tab w:val="center" w:pos="4536"/>
                <w:tab w:val="right" w:pos="9072"/>
              </w:tabs>
              <w:suppressAutoHyphens w:val="0"/>
              <w:spacing w:before="120"/>
              <w:jc w:val="both"/>
              <w:rPr>
                <w:b/>
                <w:sz w:val="20"/>
                <w:szCs w:val="20"/>
                <w:lang w:eastAsia="en-US"/>
              </w:rPr>
            </w:pPr>
            <w:r w:rsidRPr="003C15F0">
              <w:rPr>
                <w:b/>
                <w:sz w:val="20"/>
                <w:szCs w:val="20"/>
                <w:lang w:eastAsia="en-US"/>
              </w:rPr>
              <w:t xml:space="preserve">            </w:t>
            </w:r>
            <w:r w:rsidR="007825C0" w:rsidRPr="003C15F0">
              <w:rPr>
                <w:b/>
                <w:sz w:val="20"/>
                <w:szCs w:val="20"/>
                <w:lang w:eastAsia="en-US"/>
              </w:rPr>
              <w:t xml:space="preserve"> 7 470 000 bez DPH</w:t>
            </w:r>
          </w:p>
          <w:p w14:paraId="422A137B" w14:textId="77777777" w:rsidR="007825C0" w:rsidRPr="003C15F0" w:rsidRDefault="007825C0" w:rsidP="007825C0">
            <w:pPr>
              <w:tabs>
                <w:tab w:val="left" w:pos="708"/>
                <w:tab w:val="center" w:pos="4536"/>
                <w:tab w:val="right" w:pos="9072"/>
              </w:tabs>
              <w:suppressAutoHyphens w:val="0"/>
              <w:spacing w:before="120"/>
              <w:jc w:val="both"/>
              <w:rPr>
                <w:sz w:val="20"/>
                <w:szCs w:val="20"/>
                <w:lang w:eastAsia="en-US"/>
              </w:rPr>
            </w:pPr>
          </w:p>
        </w:tc>
      </w:tr>
      <w:tr w:rsidR="007825C0" w:rsidRPr="007825C0" w14:paraId="5C84E86E" w14:textId="77777777" w:rsidTr="0062370E">
        <w:tc>
          <w:tcPr>
            <w:tcW w:w="6088" w:type="dxa"/>
            <w:tcBorders>
              <w:top w:val="single" w:sz="12" w:space="0" w:color="auto"/>
              <w:left w:val="single" w:sz="12" w:space="0" w:color="auto"/>
              <w:bottom w:val="single" w:sz="6" w:space="0" w:color="000000"/>
              <w:right w:val="single" w:sz="6" w:space="0" w:color="000000"/>
            </w:tcBorders>
          </w:tcPr>
          <w:p w14:paraId="499D0098" w14:textId="77777777" w:rsidR="007825C0" w:rsidRPr="003C15F0" w:rsidRDefault="007825C0" w:rsidP="007825C0">
            <w:pPr>
              <w:numPr>
                <w:ilvl w:val="0"/>
                <w:numId w:val="26"/>
              </w:numPr>
              <w:suppressAutoHyphens w:val="0"/>
              <w:autoSpaceDE w:val="0"/>
              <w:autoSpaceDN w:val="0"/>
              <w:adjustRightInd w:val="0"/>
              <w:spacing w:before="120"/>
              <w:ind w:left="412" w:hanging="284"/>
              <w:contextualSpacing/>
              <w:jc w:val="both"/>
              <w:rPr>
                <w:sz w:val="20"/>
                <w:szCs w:val="20"/>
                <w:lang w:eastAsia="en-US"/>
              </w:rPr>
            </w:pPr>
            <w:r w:rsidRPr="003C15F0">
              <w:rPr>
                <w:b/>
                <w:sz w:val="20"/>
                <w:szCs w:val="20"/>
                <w:lang w:eastAsia="en-US"/>
              </w:rPr>
              <w:t xml:space="preserve">ETAPA – vypracování PD pro provedení stavby („DPS“) včetně položkového soupisu prací, dodávek a služeb (výkazu výměr) a kontrolního rozpočtu stavby </w:t>
            </w:r>
          </w:p>
        </w:tc>
        <w:tc>
          <w:tcPr>
            <w:tcW w:w="2600" w:type="dxa"/>
            <w:tcBorders>
              <w:top w:val="single" w:sz="12" w:space="0" w:color="auto"/>
              <w:left w:val="single" w:sz="6" w:space="0" w:color="000000"/>
              <w:bottom w:val="single" w:sz="6" w:space="0" w:color="000000"/>
              <w:right w:val="single" w:sz="12" w:space="0" w:color="auto"/>
            </w:tcBorders>
          </w:tcPr>
          <w:p w14:paraId="272CA136" w14:textId="77777777" w:rsidR="007825C0" w:rsidRPr="003C15F0" w:rsidRDefault="007825C0" w:rsidP="007825C0">
            <w:pPr>
              <w:tabs>
                <w:tab w:val="left" w:pos="708"/>
                <w:tab w:val="center" w:pos="4536"/>
                <w:tab w:val="right" w:pos="9072"/>
              </w:tabs>
              <w:suppressAutoHyphens w:val="0"/>
              <w:spacing w:before="120"/>
              <w:ind w:firstLine="709"/>
              <w:jc w:val="right"/>
              <w:rPr>
                <w:b/>
                <w:sz w:val="20"/>
                <w:szCs w:val="20"/>
                <w:highlight w:val="yellow"/>
                <w:lang w:eastAsia="en-US"/>
              </w:rPr>
            </w:pPr>
          </w:p>
          <w:p w14:paraId="76314DDC" w14:textId="595329F9" w:rsidR="007825C0" w:rsidRPr="003C15F0" w:rsidRDefault="008870C0" w:rsidP="007825C0">
            <w:pPr>
              <w:tabs>
                <w:tab w:val="left" w:pos="708"/>
                <w:tab w:val="center" w:pos="4536"/>
                <w:tab w:val="right" w:pos="9072"/>
              </w:tabs>
              <w:suppressAutoHyphens w:val="0"/>
              <w:spacing w:before="120"/>
              <w:jc w:val="right"/>
              <w:rPr>
                <w:b/>
                <w:bCs/>
                <w:sz w:val="20"/>
                <w:szCs w:val="20"/>
                <w:lang w:eastAsia="en-US"/>
              </w:rPr>
            </w:pPr>
            <w:r w:rsidRPr="003C15F0">
              <w:rPr>
                <w:b/>
                <w:sz w:val="20"/>
                <w:szCs w:val="20"/>
                <w:lang w:eastAsia="en-US"/>
              </w:rPr>
              <w:t>6 400 000 Kč</w:t>
            </w:r>
            <w:r w:rsidR="007825C0" w:rsidRPr="003C15F0">
              <w:rPr>
                <w:b/>
                <w:bCs/>
                <w:sz w:val="20"/>
                <w:szCs w:val="20"/>
                <w:lang w:eastAsia="en-US"/>
              </w:rPr>
              <w:t xml:space="preserve"> bez DPH</w:t>
            </w:r>
          </w:p>
        </w:tc>
      </w:tr>
      <w:tr w:rsidR="007825C0" w:rsidRPr="007825C0" w14:paraId="5C5182F6" w14:textId="77777777" w:rsidTr="0062370E">
        <w:tc>
          <w:tcPr>
            <w:tcW w:w="6088" w:type="dxa"/>
            <w:tcBorders>
              <w:top w:val="single" w:sz="12" w:space="0" w:color="auto"/>
              <w:left w:val="single" w:sz="12" w:space="0" w:color="auto"/>
              <w:bottom w:val="single" w:sz="6" w:space="0" w:color="000000"/>
              <w:right w:val="single" w:sz="6" w:space="0" w:color="000000"/>
            </w:tcBorders>
          </w:tcPr>
          <w:p w14:paraId="71D5B95F" w14:textId="77777777" w:rsidR="007825C0" w:rsidRPr="003C15F0" w:rsidRDefault="007825C0" w:rsidP="007825C0">
            <w:pPr>
              <w:numPr>
                <w:ilvl w:val="0"/>
                <w:numId w:val="26"/>
              </w:numPr>
              <w:suppressAutoHyphens w:val="0"/>
              <w:autoSpaceDE w:val="0"/>
              <w:autoSpaceDN w:val="0"/>
              <w:adjustRightInd w:val="0"/>
              <w:spacing w:before="120"/>
              <w:ind w:left="412" w:hanging="284"/>
              <w:contextualSpacing/>
              <w:jc w:val="both"/>
              <w:rPr>
                <w:sz w:val="20"/>
                <w:szCs w:val="20"/>
                <w:lang w:eastAsia="en-US"/>
              </w:rPr>
            </w:pPr>
            <w:r w:rsidRPr="003C15F0">
              <w:rPr>
                <w:b/>
                <w:sz w:val="20"/>
                <w:szCs w:val="20"/>
                <w:lang w:eastAsia="en-US"/>
              </w:rPr>
              <w:t xml:space="preserve">Etapa – součinnost při zadávacím řízení </w:t>
            </w:r>
          </w:p>
        </w:tc>
        <w:tc>
          <w:tcPr>
            <w:tcW w:w="2600" w:type="dxa"/>
            <w:tcBorders>
              <w:top w:val="single" w:sz="12" w:space="0" w:color="auto"/>
              <w:left w:val="single" w:sz="6" w:space="0" w:color="000000"/>
              <w:bottom w:val="single" w:sz="6" w:space="0" w:color="000000"/>
              <w:right w:val="single" w:sz="12" w:space="0" w:color="auto"/>
            </w:tcBorders>
          </w:tcPr>
          <w:p w14:paraId="2E3903BF" w14:textId="3D8513D8" w:rsidR="007825C0" w:rsidRPr="003C15F0" w:rsidRDefault="008870C0" w:rsidP="007825C0">
            <w:pPr>
              <w:tabs>
                <w:tab w:val="left" w:pos="708"/>
                <w:tab w:val="center" w:pos="4536"/>
                <w:tab w:val="right" w:pos="9072"/>
              </w:tabs>
              <w:suppressAutoHyphens w:val="0"/>
              <w:spacing w:before="120"/>
              <w:jc w:val="right"/>
              <w:rPr>
                <w:b/>
                <w:sz w:val="20"/>
                <w:szCs w:val="20"/>
                <w:highlight w:val="yellow"/>
                <w:lang w:eastAsia="en-US"/>
              </w:rPr>
            </w:pPr>
            <w:r w:rsidRPr="003C15F0">
              <w:rPr>
                <w:b/>
                <w:sz w:val="20"/>
                <w:szCs w:val="20"/>
                <w:lang w:eastAsia="en-US"/>
              </w:rPr>
              <w:t>200 000 Kč</w:t>
            </w:r>
            <w:r w:rsidR="007825C0" w:rsidRPr="003C15F0">
              <w:rPr>
                <w:b/>
                <w:bCs/>
                <w:sz w:val="20"/>
                <w:szCs w:val="20"/>
                <w:lang w:eastAsia="en-US"/>
              </w:rPr>
              <w:t xml:space="preserve"> </w:t>
            </w:r>
            <w:r w:rsidR="007825C0" w:rsidRPr="003C15F0">
              <w:rPr>
                <w:b/>
                <w:sz w:val="20"/>
                <w:szCs w:val="20"/>
                <w:lang w:eastAsia="en-US"/>
              </w:rPr>
              <w:t>bez DPH</w:t>
            </w:r>
          </w:p>
        </w:tc>
      </w:tr>
      <w:tr w:rsidR="007825C0" w:rsidRPr="007825C0" w14:paraId="4EFD7BBD" w14:textId="77777777" w:rsidTr="0062370E">
        <w:tc>
          <w:tcPr>
            <w:tcW w:w="6088" w:type="dxa"/>
            <w:tcBorders>
              <w:top w:val="single" w:sz="12" w:space="0" w:color="auto"/>
              <w:left w:val="single" w:sz="12" w:space="0" w:color="auto"/>
              <w:bottom w:val="single" w:sz="6" w:space="0" w:color="000000"/>
              <w:right w:val="single" w:sz="6" w:space="0" w:color="000000"/>
            </w:tcBorders>
          </w:tcPr>
          <w:p w14:paraId="3E1A09A2" w14:textId="77777777" w:rsidR="007825C0" w:rsidRPr="003C15F0" w:rsidRDefault="007825C0" w:rsidP="007825C0">
            <w:pPr>
              <w:numPr>
                <w:ilvl w:val="0"/>
                <w:numId w:val="26"/>
              </w:numPr>
              <w:suppressAutoHyphens w:val="0"/>
              <w:autoSpaceDE w:val="0"/>
              <w:autoSpaceDN w:val="0"/>
              <w:adjustRightInd w:val="0"/>
              <w:spacing w:before="120"/>
              <w:ind w:left="412" w:hanging="284"/>
              <w:contextualSpacing/>
              <w:jc w:val="both"/>
              <w:rPr>
                <w:sz w:val="20"/>
                <w:szCs w:val="20"/>
                <w:lang w:eastAsia="en-US"/>
              </w:rPr>
            </w:pPr>
            <w:r w:rsidRPr="003C15F0">
              <w:rPr>
                <w:b/>
                <w:sz w:val="20"/>
                <w:szCs w:val="20"/>
                <w:lang w:eastAsia="en-US"/>
              </w:rPr>
              <w:t xml:space="preserve">ETAPA – výkon autorského dozoru – výkon autorského dozoru na stavbě </w:t>
            </w:r>
          </w:p>
        </w:tc>
        <w:tc>
          <w:tcPr>
            <w:tcW w:w="2600" w:type="dxa"/>
            <w:tcBorders>
              <w:top w:val="single" w:sz="12" w:space="0" w:color="auto"/>
              <w:left w:val="single" w:sz="6" w:space="0" w:color="000000"/>
              <w:bottom w:val="single" w:sz="6" w:space="0" w:color="000000"/>
              <w:right w:val="single" w:sz="12" w:space="0" w:color="auto"/>
            </w:tcBorders>
          </w:tcPr>
          <w:p w14:paraId="2C7CE8D8" w14:textId="7C8D1040" w:rsidR="007825C0" w:rsidRPr="003C15F0" w:rsidRDefault="008870C0" w:rsidP="007825C0">
            <w:pPr>
              <w:tabs>
                <w:tab w:val="left" w:pos="708"/>
                <w:tab w:val="center" w:pos="4536"/>
                <w:tab w:val="right" w:pos="9072"/>
              </w:tabs>
              <w:suppressAutoHyphens w:val="0"/>
              <w:spacing w:before="120"/>
              <w:jc w:val="right"/>
              <w:rPr>
                <w:b/>
                <w:bCs/>
                <w:sz w:val="20"/>
                <w:szCs w:val="20"/>
                <w:lang w:eastAsia="en-US"/>
              </w:rPr>
            </w:pPr>
            <w:r w:rsidRPr="003C15F0">
              <w:rPr>
                <w:b/>
                <w:sz w:val="20"/>
                <w:szCs w:val="20"/>
                <w:lang w:eastAsia="en-US"/>
              </w:rPr>
              <w:t>1 400 000 Kč</w:t>
            </w:r>
            <w:r w:rsidR="007825C0" w:rsidRPr="003C15F0">
              <w:rPr>
                <w:b/>
                <w:bCs/>
                <w:sz w:val="20"/>
                <w:szCs w:val="20"/>
                <w:lang w:eastAsia="en-US"/>
              </w:rPr>
              <w:t xml:space="preserve"> </w:t>
            </w:r>
            <w:r w:rsidR="007825C0" w:rsidRPr="003C15F0">
              <w:rPr>
                <w:b/>
                <w:sz w:val="20"/>
                <w:szCs w:val="20"/>
                <w:lang w:eastAsia="en-US"/>
              </w:rPr>
              <w:t>bez DPH</w:t>
            </w:r>
          </w:p>
        </w:tc>
      </w:tr>
      <w:tr w:rsidR="007825C0" w:rsidRPr="007825C0" w14:paraId="20F686B1" w14:textId="77777777" w:rsidTr="0062370E">
        <w:trPr>
          <w:trHeight w:val="530"/>
        </w:trPr>
        <w:tc>
          <w:tcPr>
            <w:tcW w:w="6088" w:type="dxa"/>
            <w:tcBorders>
              <w:top w:val="single" w:sz="12" w:space="0" w:color="auto"/>
              <w:left w:val="single" w:sz="12" w:space="0" w:color="auto"/>
              <w:bottom w:val="single" w:sz="6" w:space="0" w:color="000000"/>
              <w:right w:val="single" w:sz="6" w:space="0" w:color="000000"/>
            </w:tcBorders>
          </w:tcPr>
          <w:p w14:paraId="6D80D042" w14:textId="33442A1A" w:rsidR="007825C0" w:rsidRPr="003C15F0" w:rsidRDefault="003C15F0" w:rsidP="007825C0">
            <w:pPr>
              <w:numPr>
                <w:ilvl w:val="0"/>
                <w:numId w:val="26"/>
              </w:numPr>
              <w:suppressAutoHyphens w:val="0"/>
              <w:autoSpaceDE w:val="0"/>
              <w:autoSpaceDN w:val="0"/>
              <w:adjustRightInd w:val="0"/>
              <w:spacing w:before="120"/>
              <w:ind w:left="412" w:hanging="284"/>
              <w:contextualSpacing/>
              <w:jc w:val="both"/>
              <w:rPr>
                <w:b/>
                <w:color w:val="FF0000"/>
                <w:sz w:val="20"/>
                <w:szCs w:val="20"/>
                <w:lang w:eastAsia="en-US"/>
              </w:rPr>
            </w:pPr>
            <w:r w:rsidRPr="003C15F0">
              <w:rPr>
                <w:b/>
                <w:sz w:val="20"/>
                <w:szCs w:val="20"/>
                <w:lang w:eastAsia="en-US"/>
              </w:rPr>
              <w:t xml:space="preserve">ETAPA - </w:t>
            </w:r>
            <w:r w:rsidR="007825C0" w:rsidRPr="003C15F0">
              <w:rPr>
                <w:b/>
                <w:sz w:val="20"/>
                <w:szCs w:val="20"/>
                <w:lang w:eastAsia="en-US"/>
              </w:rPr>
              <w:t xml:space="preserve">Změna vyhrazená dle čl. IV. odst. 5 Smlouvy – revize rozpočtu a soupisu prací </w:t>
            </w:r>
          </w:p>
        </w:tc>
        <w:tc>
          <w:tcPr>
            <w:tcW w:w="2600" w:type="dxa"/>
            <w:tcBorders>
              <w:top w:val="single" w:sz="12" w:space="0" w:color="auto"/>
              <w:left w:val="single" w:sz="6" w:space="0" w:color="000000"/>
              <w:bottom w:val="single" w:sz="6" w:space="0" w:color="000000"/>
              <w:right w:val="single" w:sz="12" w:space="0" w:color="auto"/>
            </w:tcBorders>
          </w:tcPr>
          <w:p w14:paraId="194C58C7" w14:textId="371F6B33" w:rsidR="007825C0" w:rsidRPr="003C15F0" w:rsidRDefault="008870C0" w:rsidP="007825C0">
            <w:pPr>
              <w:tabs>
                <w:tab w:val="left" w:pos="708"/>
                <w:tab w:val="center" w:pos="4536"/>
                <w:tab w:val="right" w:pos="9072"/>
              </w:tabs>
              <w:suppressAutoHyphens w:val="0"/>
              <w:spacing w:before="120"/>
              <w:jc w:val="right"/>
              <w:rPr>
                <w:b/>
                <w:sz w:val="20"/>
                <w:szCs w:val="20"/>
                <w:highlight w:val="yellow"/>
                <w:lang w:eastAsia="en-US"/>
              </w:rPr>
            </w:pPr>
            <w:r w:rsidRPr="003C15F0">
              <w:rPr>
                <w:b/>
                <w:sz w:val="20"/>
                <w:szCs w:val="20"/>
                <w:lang w:eastAsia="en-US"/>
              </w:rPr>
              <w:t>600 000 Kč</w:t>
            </w:r>
            <w:r w:rsidR="007825C0" w:rsidRPr="003C15F0">
              <w:rPr>
                <w:b/>
                <w:bCs/>
                <w:sz w:val="20"/>
                <w:szCs w:val="20"/>
                <w:lang w:eastAsia="en-US"/>
              </w:rPr>
              <w:t xml:space="preserve"> </w:t>
            </w:r>
            <w:r w:rsidR="007825C0" w:rsidRPr="003C15F0">
              <w:rPr>
                <w:b/>
                <w:sz w:val="20"/>
                <w:szCs w:val="20"/>
                <w:lang w:eastAsia="en-US"/>
              </w:rPr>
              <w:t>bez DPH</w:t>
            </w:r>
          </w:p>
        </w:tc>
      </w:tr>
      <w:tr w:rsidR="007825C0" w:rsidRPr="007825C0" w14:paraId="3988DD03" w14:textId="77777777" w:rsidTr="00405E2E">
        <w:trPr>
          <w:trHeight w:val="342"/>
        </w:trPr>
        <w:tc>
          <w:tcPr>
            <w:tcW w:w="6088" w:type="dxa"/>
            <w:tcBorders>
              <w:top w:val="single" w:sz="12" w:space="0" w:color="auto"/>
              <w:left w:val="single" w:sz="12" w:space="0" w:color="auto"/>
              <w:bottom w:val="single" w:sz="6" w:space="0" w:color="000000"/>
              <w:right w:val="single" w:sz="6" w:space="0" w:color="000000"/>
            </w:tcBorders>
            <w:shd w:val="clear" w:color="auto" w:fill="D9D9D9"/>
          </w:tcPr>
          <w:p w14:paraId="2C99E7DA" w14:textId="77777777" w:rsidR="007825C0" w:rsidRPr="003C15F0" w:rsidRDefault="007825C0" w:rsidP="007825C0">
            <w:pPr>
              <w:tabs>
                <w:tab w:val="left" w:pos="708"/>
                <w:tab w:val="center" w:pos="4536"/>
                <w:tab w:val="right" w:pos="9072"/>
              </w:tabs>
              <w:suppressAutoHyphens w:val="0"/>
              <w:spacing w:before="120"/>
              <w:jc w:val="both"/>
              <w:rPr>
                <w:b/>
                <w:bCs/>
                <w:sz w:val="20"/>
                <w:szCs w:val="20"/>
                <w:lang w:eastAsia="en-US"/>
              </w:rPr>
            </w:pPr>
            <w:r w:rsidRPr="003C15F0">
              <w:rPr>
                <w:b/>
                <w:bCs/>
                <w:sz w:val="20"/>
                <w:szCs w:val="20"/>
                <w:lang w:eastAsia="en-US"/>
              </w:rPr>
              <w:t>Celková cena bez DPH</w:t>
            </w:r>
          </w:p>
        </w:tc>
        <w:tc>
          <w:tcPr>
            <w:tcW w:w="2600" w:type="dxa"/>
            <w:tcBorders>
              <w:top w:val="single" w:sz="12" w:space="0" w:color="auto"/>
              <w:left w:val="single" w:sz="6" w:space="0" w:color="000000"/>
              <w:bottom w:val="single" w:sz="6" w:space="0" w:color="000000"/>
              <w:right w:val="single" w:sz="12" w:space="0" w:color="auto"/>
            </w:tcBorders>
            <w:shd w:val="clear" w:color="auto" w:fill="D9D9D9"/>
          </w:tcPr>
          <w:p w14:paraId="27606ED6" w14:textId="403ABE32" w:rsidR="007825C0" w:rsidRPr="003C15F0" w:rsidRDefault="008870C0" w:rsidP="007825C0">
            <w:pPr>
              <w:tabs>
                <w:tab w:val="left" w:pos="708"/>
                <w:tab w:val="center" w:pos="4536"/>
                <w:tab w:val="right" w:pos="9072"/>
              </w:tabs>
              <w:suppressAutoHyphens w:val="0"/>
              <w:spacing w:before="120"/>
              <w:jc w:val="right"/>
              <w:rPr>
                <w:b/>
                <w:bCs/>
                <w:sz w:val="20"/>
                <w:szCs w:val="20"/>
                <w:lang w:eastAsia="en-US"/>
              </w:rPr>
            </w:pPr>
            <w:r w:rsidRPr="003C15F0">
              <w:rPr>
                <w:b/>
                <w:sz w:val="20"/>
                <w:szCs w:val="20"/>
                <w:lang w:eastAsia="en-US"/>
              </w:rPr>
              <w:t>19 100 000 Kč</w:t>
            </w:r>
            <w:r w:rsidR="007825C0" w:rsidRPr="003C15F0">
              <w:rPr>
                <w:b/>
                <w:bCs/>
                <w:sz w:val="20"/>
                <w:szCs w:val="20"/>
                <w:lang w:eastAsia="en-US"/>
              </w:rPr>
              <w:t xml:space="preserve"> bez DPH</w:t>
            </w:r>
          </w:p>
        </w:tc>
      </w:tr>
      <w:tr w:rsidR="007825C0" w:rsidRPr="007825C0" w14:paraId="06B5EF25" w14:textId="77777777" w:rsidTr="00405E2E">
        <w:trPr>
          <w:trHeight w:val="365"/>
        </w:trPr>
        <w:tc>
          <w:tcPr>
            <w:tcW w:w="6088" w:type="dxa"/>
            <w:tcBorders>
              <w:top w:val="single" w:sz="6" w:space="0" w:color="000000"/>
              <w:left w:val="single" w:sz="12" w:space="0" w:color="auto"/>
              <w:bottom w:val="single" w:sz="6" w:space="0" w:color="000000"/>
              <w:right w:val="single" w:sz="6" w:space="0" w:color="000000"/>
            </w:tcBorders>
            <w:shd w:val="clear" w:color="auto" w:fill="D9D9D9"/>
            <w:hideMark/>
          </w:tcPr>
          <w:p w14:paraId="52938AB0" w14:textId="77777777" w:rsidR="007825C0" w:rsidRPr="003C15F0" w:rsidRDefault="007825C0" w:rsidP="007825C0">
            <w:pPr>
              <w:tabs>
                <w:tab w:val="left" w:pos="708"/>
                <w:tab w:val="center" w:pos="4536"/>
                <w:tab w:val="right" w:pos="9072"/>
              </w:tabs>
              <w:suppressAutoHyphens w:val="0"/>
              <w:spacing w:before="120"/>
              <w:jc w:val="both"/>
              <w:rPr>
                <w:b/>
                <w:bCs/>
                <w:sz w:val="20"/>
                <w:szCs w:val="20"/>
                <w:lang w:eastAsia="en-US"/>
              </w:rPr>
            </w:pPr>
            <w:r w:rsidRPr="003C15F0">
              <w:rPr>
                <w:b/>
                <w:bCs/>
                <w:sz w:val="20"/>
                <w:szCs w:val="20"/>
                <w:lang w:eastAsia="en-US"/>
              </w:rPr>
              <w:t>DPH ve výši 21 %</w:t>
            </w:r>
          </w:p>
        </w:tc>
        <w:tc>
          <w:tcPr>
            <w:tcW w:w="2600" w:type="dxa"/>
            <w:tcBorders>
              <w:top w:val="single" w:sz="6" w:space="0" w:color="000000"/>
              <w:left w:val="single" w:sz="6" w:space="0" w:color="000000"/>
              <w:bottom w:val="single" w:sz="6" w:space="0" w:color="000000"/>
              <w:right w:val="single" w:sz="12" w:space="0" w:color="auto"/>
            </w:tcBorders>
            <w:shd w:val="clear" w:color="auto" w:fill="D9D9D9"/>
            <w:hideMark/>
          </w:tcPr>
          <w:p w14:paraId="013C7089" w14:textId="158E5C16" w:rsidR="007825C0" w:rsidRPr="003C15F0" w:rsidRDefault="007825C0" w:rsidP="007825C0">
            <w:pPr>
              <w:tabs>
                <w:tab w:val="left" w:pos="708"/>
                <w:tab w:val="center" w:pos="4536"/>
                <w:tab w:val="right" w:pos="9072"/>
              </w:tabs>
              <w:suppressAutoHyphens w:val="0"/>
              <w:spacing w:before="120"/>
              <w:jc w:val="both"/>
              <w:rPr>
                <w:b/>
                <w:bCs/>
                <w:sz w:val="20"/>
                <w:szCs w:val="20"/>
                <w:lang w:eastAsia="en-US"/>
              </w:rPr>
            </w:pPr>
            <w:r w:rsidRPr="003C15F0">
              <w:rPr>
                <w:sz w:val="20"/>
                <w:szCs w:val="20"/>
                <w:lang w:eastAsia="en-US"/>
              </w:rPr>
              <w:t xml:space="preserve"> </w:t>
            </w:r>
            <w:r w:rsidR="00D467DE" w:rsidRPr="003C15F0">
              <w:rPr>
                <w:sz w:val="20"/>
                <w:szCs w:val="20"/>
                <w:lang w:eastAsia="en-US"/>
              </w:rPr>
              <w:t xml:space="preserve"> </w:t>
            </w:r>
            <w:r w:rsidR="008870C0" w:rsidRPr="003C15F0">
              <w:rPr>
                <w:sz w:val="20"/>
                <w:szCs w:val="20"/>
                <w:lang w:eastAsia="en-US"/>
              </w:rPr>
              <w:t xml:space="preserve">     4 011 000</w:t>
            </w:r>
            <w:r w:rsidR="008870C0" w:rsidRPr="003C15F0">
              <w:rPr>
                <w:b/>
                <w:sz w:val="20"/>
                <w:szCs w:val="20"/>
                <w:lang w:eastAsia="en-US"/>
              </w:rPr>
              <w:t xml:space="preserve"> </w:t>
            </w:r>
            <w:r w:rsidR="008870C0" w:rsidRPr="003C15F0">
              <w:rPr>
                <w:sz w:val="20"/>
                <w:szCs w:val="20"/>
                <w:lang w:eastAsia="en-US"/>
              </w:rPr>
              <w:t>Kč</w:t>
            </w:r>
          </w:p>
        </w:tc>
      </w:tr>
      <w:tr w:rsidR="007825C0" w:rsidRPr="007825C0" w14:paraId="1DAA9286" w14:textId="77777777" w:rsidTr="00405E2E">
        <w:trPr>
          <w:trHeight w:val="312"/>
        </w:trPr>
        <w:tc>
          <w:tcPr>
            <w:tcW w:w="6088" w:type="dxa"/>
            <w:tcBorders>
              <w:top w:val="single" w:sz="6" w:space="0" w:color="000000"/>
              <w:left w:val="single" w:sz="12" w:space="0" w:color="auto"/>
              <w:bottom w:val="single" w:sz="12" w:space="0" w:color="auto"/>
              <w:right w:val="single" w:sz="6" w:space="0" w:color="000000"/>
            </w:tcBorders>
            <w:shd w:val="clear" w:color="auto" w:fill="D9D9D9"/>
            <w:hideMark/>
          </w:tcPr>
          <w:p w14:paraId="0CA41AD7" w14:textId="77777777" w:rsidR="007825C0" w:rsidRPr="003C15F0" w:rsidRDefault="007825C0" w:rsidP="007825C0">
            <w:pPr>
              <w:tabs>
                <w:tab w:val="left" w:pos="708"/>
                <w:tab w:val="center" w:pos="4536"/>
                <w:tab w:val="right" w:pos="9072"/>
              </w:tabs>
              <w:suppressAutoHyphens w:val="0"/>
              <w:spacing w:before="120"/>
              <w:jc w:val="both"/>
              <w:rPr>
                <w:b/>
                <w:bCs/>
                <w:sz w:val="20"/>
                <w:szCs w:val="20"/>
                <w:lang w:eastAsia="en-US"/>
              </w:rPr>
            </w:pPr>
            <w:r w:rsidRPr="003C15F0">
              <w:rPr>
                <w:b/>
                <w:bCs/>
                <w:sz w:val="20"/>
                <w:szCs w:val="20"/>
                <w:lang w:eastAsia="en-US"/>
              </w:rPr>
              <w:t>Celková cena díla včetně DPH</w:t>
            </w:r>
          </w:p>
        </w:tc>
        <w:tc>
          <w:tcPr>
            <w:tcW w:w="2600" w:type="dxa"/>
            <w:tcBorders>
              <w:top w:val="single" w:sz="6" w:space="0" w:color="000000"/>
              <w:left w:val="single" w:sz="6" w:space="0" w:color="000000"/>
              <w:bottom w:val="single" w:sz="12" w:space="0" w:color="auto"/>
              <w:right w:val="single" w:sz="12" w:space="0" w:color="auto"/>
            </w:tcBorders>
            <w:shd w:val="clear" w:color="auto" w:fill="D9D9D9"/>
          </w:tcPr>
          <w:p w14:paraId="0EA65228" w14:textId="53F96B34" w:rsidR="007825C0" w:rsidRPr="003C15F0" w:rsidRDefault="007825C0" w:rsidP="007825C0">
            <w:pPr>
              <w:tabs>
                <w:tab w:val="left" w:pos="708"/>
                <w:tab w:val="center" w:pos="4536"/>
                <w:tab w:val="right" w:pos="9072"/>
              </w:tabs>
              <w:suppressAutoHyphens w:val="0"/>
              <w:spacing w:before="120"/>
              <w:jc w:val="both"/>
              <w:rPr>
                <w:b/>
                <w:bCs/>
                <w:sz w:val="20"/>
                <w:szCs w:val="20"/>
                <w:lang w:eastAsia="en-US"/>
              </w:rPr>
            </w:pPr>
            <w:r w:rsidRPr="003C15F0">
              <w:rPr>
                <w:b/>
                <w:bCs/>
                <w:sz w:val="20"/>
                <w:szCs w:val="20"/>
                <w:lang w:eastAsia="en-US"/>
              </w:rPr>
              <w:t xml:space="preserve"> </w:t>
            </w:r>
            <w:r w:rsidR="008870C0" w:rsidRPr="003C15F0">
              <w:rPr>
                <w:b/>
                <w:bCs/>
                <w:sz w:val="20"/>
                <w:szCs w:val="20"/>
                <w:lang w:eastAsia="en-US"/>
              </w:rPr>
              <w:t xml:space="preserve">    </w:t>
            </w:r>
            <w:r w:rsidR="003C15F0" w:rsidRPr="003C15F0">
              <w:rPr>
                <w:b/>
                <w:bCs/>
                <w:sz w:val="20"/>
                <w:szCs w:val="20"/>
                <w:lang w:eastAsia="en-US"/>
              </w:rPr>
              <w:t xml:space="preserve">    </w:t>
            </w:r>
            <w:r w:rsidRPr="003C15F0">
              <w:rPr>
                <w:b/>
                <w:bCs/>
                <w:sz w:val="20"/>
                <w:szCs w:val="20"/>
                <w:lang w:eastAsia="en-US"/>
              </w:rPr>
              <w:t>23 111 000 Kč s DPH</w:t>
            </w:r>
          </w:p>
        </w:tc>
      </w:tr>
    </w:tbl>
    <w:p w14:paraId="33C3F389" w14:textId="03F4630F" w:rsidR="007825C0" w:rsidRPr="007825C0" w:rsidRDefault="00D467DE" w:rsidP="00D467DE">
      <w:pPr>
        <w:suppressAutoHyphens w:val="0"/>
        <w:spacing w:after="240"/>
        <w:ind w:left="7788" w:firstLine="708"/>
        <w:jc w:val="both"/>
        <w:rPr>
          <w:sz w:val="20"/>
          <w:szCs w:val="20"/>
          <w:lang w:eastAsia="en-US"/>
        </w:rPr>
      </w:pPr>
      <w:r w:rsidRPr="00D467DE">
        <w:rPr>
          <w:sz w:val="20"/>
          <w:szCs w:val="20"/>
          <w:lang w:eastAsia="en-US"/>
        </w:rPr>
        <w:t>„</w:t>
      </w:r>
    </w:p>
    <w:p w14:paraId="3CF0A45D" w14:textId="11E8B9EC" w:rsidR="00841E4A" w:rsidRPr="008870C0" w:rsidRDefault="00272EE2" w:rsidP="00023609">
      <w:pPr>
        <w:numPr>
          <w:ilvl w:val="0"/>
          <w:numId w:val="16"/>
        </w:numPr>
        <w:spacing w:after="240"/>
        <w:jc w:val="both"/>
        <w:rPr>
          <w:szCs w:val="22"/>
        </w:rPr>
      </w:pPr>
      <w:r w:rsidRPr="008870C0">
        <w:rPr>
          <w:b/>
          <w:szCs w:val="22"/>
        </w:rPr>
        <w:t>V</w:t>
      </w:r>
      <w:r w:rsidR="00330331" w:rsidRPr="008870C0">
        <w:rPr>
          <w:b/>
          <w:szCs w:val="22"/>
        </w:rPr>
        <w:t>e Smlouvě v</w:t>
      </w:r>
      <w:r w:rsidRPr="008870C0">
        <w:rPr>
          <w:b/>
          <w:szCs w:val="22"/>
        </w:rPr>
        <w:t xml:space="preserve"> čl. </w:t>
      </w:r>
      <w:r w:rsidR="00D467DE" w:rsidRPr="008870C0">
        <w:rPr>
          <w:b/>
          <w:szCs w:val="22"/>
        </w:rPr>
        <w:t>V</w:t>
      </w:r>
      <w:r w:rsidR="004174F6" w:rsidRPr="008870C0">
        <w:rPr>
          <w:b/>
          <w:szCs w:val="22"/>
        </w:rPr>
        <w:t>.</w:t>
      </w:r>
      <w:r w:rsidRPr="008870C0">
        <w:rPr>
          <w:b/>
          <w:szCs w:val="22"/>
        </w:rPr>
        <w:t xml:space="preserve"> </w:t>
      </w:r>
      <w:r w:rsidR="00C3500A" w:rsidRPr="008870C0">
        <w:rPr>
          <w:b/>
          <w:szCs w:val="22"/>
        </w:rPr>
        <w:t>P</w:t>
      </w:r>
      <w:r w:rsidR="00D467DE" w:rsidRPr="008870C0">
        <w:rPr>
          <w:b/>
          <w:szCs w:val="22"/>
        </w:rPr>
        <w:t xml:space="preserve">latební podmínky </w:t>
      </w:r>
      <w:r w:rsidRPr="008870C0">
        <w:rPr>
          <w:szCs w:val="22"/>
        </w:rPr>
        <w:t xml:space="preserve">se mění a doplňuje </w:t>
      </w:r>
      <w:r w:rsidR="00023609" w:rsidRPr="008870C0">
        <w:rPr>
          <w:szCs w:val="22"/>
        </w:rPr>
        <w:t>text</w:t>
      </w:r>
      <w:r w:rsidRPr="008870C0">
        <w:rPr>
          <w:szCs w:val="22"/>
        </w:rPr>
        <w:t xml:space="preserve"> v </w:t>
      </w:r>
      <w:r w:rsidRPr="008870C0">
        <w:rPr>
          <w:b/>
          <w:szCs w:val="22"/>
        </w:rPr>
        <w:t>odstavci</w:t>
      </w:r>
      <w:r w:rsidR="00306B5A" w:rsidRPr="008870C0">
        <w:rPr>
          <w:b/>
          <w:szCs w:val="22"/>
        </w:rPr>
        <w:t xml:space="preserve"> </w:t>
      </w:r>
      <w:r w:rsidR="00FC5AA2" w:rsidRPr="008870C0">
        <w:rPr>
          <w:b/>
          <w:szCs w:val="22"/>
        </w:rPr>
        <w:t xml:space="preserve">č. </w:t>
      </w:r>
      <w:r w:rsidR="00D467DE" w:rsidRPr="008870C0">
        <w:rPr>
          <w:b/>
          <w:szCs w:val="22"/>
        </w:rPr>
        <w:t>1</w:t>
      </w:r>
      <w:r w:rsidR="00306B5A" w:rsidRPr="008870C0">
        <w:rPr>
          <w:b/>
          <w:szCs w:val="22"/>
        </w:rPr>
        <w:t>1</w:t>
      </w:r>
      <w:r w:rsidR="008E0AA2" w:rsidRPr="008870C0">
        <w:rPr>
          <w:szCs w:val="22"/>
        </w:rPr>
        <w:t xml:space="preserve"> </w:t>
      </w:r>
      <w:r w:rsidR="00023609" w:rsidRPr="008870C0">
        <w:rPr>
          <w:szCs w:val="22"/>
        </w:rPr>
        <w:t xml:space="preserve">a </w:t>
      </w:r>
      <w:r w:rsidR="00023609" w:rsidRPr="008870C0">
        <w:rPr>
          <w:b/>
          <w:szCs w:val="22"/>
        </w:rPr>
        <w:t>12</w:t>
      </w:r>
      <w:r w:rsidR="00023609" w:rsidRPr="008870C0">
        <w:rPr>
          <w:szCs w:val="22"/>
        </w:rPr>
        <w:t xml:space="preserve"> </w:t>
      </w:r>
      <w:r w:rsidR="008E0AA2" w:rsidRPr="008870C0">
        <w:rPr>
          <w:szCs w:val="22"/>
        </w:rPr>
        <w:t>takto</w:t>
      </w:r>
      <w:r w:rsidRPr="008870C0">
        <w:rPr>
          <w:szCs w:val="22"/>
        </w:rPr>
        <w:t xml:space="preserve">: </w:t>
      </w:r>
    </w:p>
    <w:p w14:paraId="2E0A9892" w14:textId="4D2F93C6" w:rsidR="00D467DE" w:rsidRPr="008870C0" w:rsidRDefault="00EF6C8C" w:rsidP="00D467DE">
      <w:pPr>
        <w:pStyle w:val="Default"/>
        <w:spacing w:after="240"/>
        <w:ind w:left="851" w:hanging="511"/>
        <w:jc w:val="both"/>
        <w:rPr>
          <w:rFonts w:ascii="Arial" w:hAnsi="Arial" w:cs="Arial"/>
          <w:color w:val="auto"/>
          <w:sz w:val="22"/>
          <w:szCs w:val="22"/>
        </w:rPr>
      </w:pPr>
      <w:r w:rsidRPr="008870C0">
        <w:rPr>
          <w:rFonts w:ascii="Arial" w:hAnsi="Arial" w:cs="Arial"/>
          <w:b/>
          <w:sz w:val="22"/>
          <w:szCs w:val="22"/>
        </w:rPr>
        <w:t>„</w:t>
      </w:r>
      <w:r w:rsidR="00D467DE" w:rsidRPr="008870C0">
        <w:rPr>
          <w:rFonts w:ascii="Arial" w:hAnsi="Arial" w:cs="Arial"/>
          <w:sz w:val="22"/>
          <w:szCs w:val="22"/>
        </w:rPr>
        <w:t>11.</w:t>
      </w:r>
      <w:r w:rsidR="00D467DE" w:rsidRPr="008870C0">
        <w:rPr>
          <w:rFonts w:ascii="Arial" w:hAnsi="Arial" w:cs="Arial"/>
          <w:b/>
          <w:sz w:val="22"/>
          <w:szCs w:val="22"/>
        </w:rPr>
        <w:tab/>
      </w:r>
      <w:r w:rsidR="00D467DE" w:rsidRPr="008870C0">
        <w:rPr>
          <w:rFonts w:ascii="Arial" w:hAnsi="Arial" w:cs="Arial"/>
          <w:color w:val="auto"/>
          <w:sz w:val="22"/>
          <w:szCs w:val="22"/>
        </w:rPr>
        <w:t xml:space="preserve">Úhrada ceny za dílo dle této Smlouvy, ať již jako celku či dílčích splátek, nemá vliv na uplatnění práva Objednatele z vad díla. Smluvní strany se dohodly na zajištění závazku Zhotovitele dokončit dílo bez vad a nedodělků, a to formou zádržného ve výši 10 % </w:t>
      </w:r>
      <w:r w:rsidR="00023609" w:rsidRPr="008870C0">
        <w:rPr>
          <w:rFonts w:ascii="Arial" w:hAnsi="Arial" w:cs="Arial"/>
          <w:color w:val="auto"/>
          <w:sz w:val="22"/>
          <w:szCs w:val="22"/>
        </w:rPr>
        <w:t xml:space="preserve">nebo 30% </w:t>
      </w:r>
      <w:r w:rsidR="00D467DE" w:rsidRPr="008870C0">
        <w:rPr>
          <w:rFonts w:ascii="Arial" w:hAnsi="Arial" w:cs="Arial"/>
          <w:color w:val="auto"/>
          <w:sz w:val="22"/>
          <w:szCs w:val="22"/>
        </w:rPr>
        <w:t>z dohodnuté ceny s DPH u:</w:t>
      </w:r>
    </w:p>
    <w:p w14:paraId="494D1E15" w14:textId="357E938A" w:rsidR="00023609" w:rsidRPr="008870C0" w:rsidRDefault="00023609" w:rsidP="003C15F0">
      <w:pPr>
        <w:pStyle w:val="Odstavecseseznamem"/>
        <w:numPr>
          <w:ilvl w:val="1"/>
          <w:numId w:val="28"/>
        </w:numPr>
        <w:jc w:val="both"/>
        <w:rPr>
          <w:szCs w:val="22"/>
          <w:lang w:eastAsia="cs-CZ"/>
        </w:rPr>
      </w:pPr>
      <w:r w:rsidRPr="008870C0">
        <w:rPr>
          <w:szCs w:val="22"/>
        </w:rPr>
        <w:t xml:space="preserve">30% u </w:t>
      </w:r>
      <w:r w:rsidR="00D467DE" w:rsidRPr="008870C0">
        <w:rPr>
          <w:szCs w:val="22"/>
        </w:rPr>
        <w:t>2</w:t>
      </w:r>
      <w:r w:rsidRPr="008870C0">
        <w:rPr>
          <w:szCs w:val="22"/>
        </w:rPr>
        <w:t xml:space="preserve">. etapy, která je </w:t>
      </w:r>
      <w:r w:rsidR="00D467DE" w:rsidRPr="008870C0">
        <w:rPr>
          <w:szCs w:val="22"/>
        </w:rPr>
        <w:t xml:space="preserve">zakončená </w:t>
      </w:r>
      <w:r w:rsidR="00D467DE" w:rsidRPr="008870C0">
        <w:rPr>
          <w:szCs w:val="22"/>
          <w:lang w:eastAsia="cs-CZ"/>
        </w:rPr>
        <w:t>podání</w:t>
      </w:r>
      <w:r w:rsidRPr="008870C0">
        <w:rPr>
          <w:szCs w:val="22"/>
          <w:lang w:eastAsia="cs-CZ"/>
        </w:rPr>
        <w:t>m</w:t>
      </w:r>
      <w:r w:rsidR="00D467DE" w:rsidRPr="008870C0">
        <w:rPr>
          <w:szCs w:val="22"/>
          <w:lang w:eastAsia="cs-CZ"/>
        </w:rPr>
        <w:t xml:space="preserve"> žádosti o Společné územní a stavební řízení </w:t>
      </w:r>
      <w:r w:rsidR="00D467DE" w:rsidRPr="008870C0">
        <w:rPr>
          <w:szCs w:val="22"/>
        </w:rPr>
        <w:t xml:space="preserve">nebo do 6 měsíců od protokolárního předání této Etapy 2, podle toho, co nastane dříve, za podmínky, že správní orgán (stavební úřad) nepřerušil řízení za účelem doplnění vyjádření a stanovisek DOSS, </w:t>
      </w:r>
    </w:p>
    <w:p w14:paraId="7A4E48D2" w14:textId="35125BC8" w:rsidR="00D467DE" w:rsidRPr="008870C0" w:rsidRDefault="00023609" w:rsidP="003C15F0">
      <w:pPr>
        <w:pStyle w:val="Default"/>
        <w:numPr>
          <w:ilvl w:val="1"/>
          <w:numId w:val="28"/>
        </w:numPr>
        <w:tabs>
          <w:tab w:val="left" w:pos="6804"/>
        </w:tabs>
        <w:spacing w:after="240"/>
        <w:jc w:val="both"/>
        <w:rPr>
          <w:rFonts w:ascii="Arial" w:hAnsi="Arial" w:cs="Arial"/>
          <w:color w:val="auto"/>
          <w:sz w:val="22"/>
          <w:szCs w:val="22"/>
        </w:rPr>
      </w:pPr>
      <w:r w:rsidRPr="008870C0">
        <w:rPr>
          <w:rFonts w:ascii="Arial" w:hAnsi="Arial" w:cs="Arial"/>
          <w:color w:val="auto"/>
          <w:sz w:val="22"/>
          <w:szCs w:val="22"/>
        </w:rPr>
        <w:t xml:space="preserve">10% u </w:t>
      </w:r>
      <w:r w:rsidR="000613FC">
        <w:rPr>
          <w:rFonts w:ascii="Arial" w:hAnsi="Arial" w:cs="Arial"/>
          <w:color w:val="auto"/>
          <w:sz w:val="22"/>
          <w:szCs w:val="22"/>
        </w:rPr>
        <w:t>3</w:t>
      </w:r>
      <w:r w:rsidR="00D467DE" w:rsidRPr="008870C0">
        <w:rPr>
          <w:rFonts w:ascii="Arial" w:hAnsi="Arial" w:cs="Arial"/>
          <w:color w:val="auto"/>
          <w:sz w:val="22"/>
          <w:szCs w:val="22"/>
        </w:rPr>
        <w:t>. etap</w:t>
      </w:r>
      <w:r w:rsidRPr="008870C0">
        <w:rPr>
          <w:rFonts w:ascii="Arial" w:hAnsi="Arial" w:cs="Arial"/>
          <w:color w:val="auto"/>
          <w:sz w:val="22"/>
          <w:szCs w:val="22"/>
        </w:rPr>
        <w:t>y, která je</w:t>
      </w:r>
      <w:r w:rsidR="00D467DE" w:rsidRPr="008870C0">
        <w:rPr>
          <w:rFonts w:ascii="Arial" w:hAnsi="Arial" w:cs="Arial"/>
          <w:color w:val="auto"/>
          <w:sz w:val="22"/>
          <w:szCs w:val="22"/>
        </w:rPr>
        <w:t xml:space="preserve"> zakončena </w:t>
      </w:r>
      <w:bookmarkStart w:id="1" w:name="_Hlk114173922"/>
      <w:r w:rsidR="00D467DE" w:rsidRPr="008870C0">
        <w:rPr>
          <w:rFonts w:ascii="Arial" w:hAnsi="Arial" w:cs="Arial"/>
          <w:color w:val="auto"/>
          <w:sz w:val="22"/>
          <w:szCs w:val="22"/>
        </w:rPr>
        <w:t xml:space="preserve">zdárným ukončením zadávacího řízení na zhotovitele stavby tj. podpisem smlouvy na zhotovitele stavby nebo zrušením veřejné zakázky z jiného důvodu, než z důvodu pochybení v PD či soupisu prací.  </w:t>
      </w:r>
      <w:bookmarkEnd w:id="1"/>
    </w:p>
    <w:p w14:paraId="3F29BF48" w14:textId="3CB7EF30" w:rsidR="00D467DE" w:rsidRPr="008870C0" w:rsidRDefault="00D467DE" w:rsidP="00D467DE">
      <w:pPr>
        <w:pStyle w:val="Default"/>
        <w:spacing w:after="240"/>
        <w:ind w:left="432"/>
        <w:jc w:val="both"/>
        <w:rPr>
          <w:rFonts w:ascii="Arial" w:hAnsi="Arial" w:cs="Arial"/>
          <w:color w:val="auto"/>
          <w:sz w:val="22"/>
          <w:szCs w:val="22"/>
        </w:rPr>
      </w:pPr>
      <w:r w:rsidRPr="008870C0">
        <w:rPr>
          <w:rFonts w:ascii="Arial" w:hAnsi="Arial" w:cs="Arial"/>
          <w:color w:val="auto"/>
          <w:sz w:val="22"/>
          <w:szCs w:val="22"/>
        </w:rPr>
        <w:lastRenderedPageBreak/>
        <w:t xml:space="preserve">Zhotovitel bude výše uvedenou etapu č. 2 fakturovat do výše 70 % ceny etapy. Objednatel uhradí vyfakturovanou cenu do výše 70 %. Etapa č. </w:t>
      </w:r>
      <w:r w:rsidR="000613FC">
        <w:rPr>
          <w:rFonts w:ascii="Arial" w:hAnsi="Arial" w:cs="Arial"/>
          <w:color w:val="auto"/>
          <w:sz w:val="22"/>
          <w:szCs w:val="22"/>
        </w:rPr>
        <w:t>3</w:t>
      </w:r>
      <w:r w:rsidR="000613FC" w:rsidRPr="008870C0">
        <w:rPr>
          <w:rFonts w:ascii="Arial" w:hAnsi="Arial" w:cs="Arial"/>
          <w:color w:val="auto"/>
          <w:sz w:val="22"/>
          <w:szCs w:val="22"/>
        </w:rPr>
        <w:t xml:space="preserve"> </w:t>
      </w:r>
      <w:r w:rsidRPr="008870C0">
        <w:rPr>
          <w:rFonts w:ascii="Arial" w:hAnsi="Arial" w:cs="Arial"/>
          <w:color w:val="auto"/>
          <w:sz w:val="22"/>
          <w:szCs w:val="22"/>
        </w:rPr>
        <w:t xml:space="preserve">bude Zhotovitelem fakturována do výše 90 % ceny etapy. Objednatel uhradí vyfakturovanou cenu do výše 90 %. </w:t>
      </w:r>
    </w:p>
    <w:p w14:paraId="45DDAC92" w14:textId="77777777" w:rsidR="00023609" w:rsidRPr="008870C0" w:rsidRDefault="00D467DE" w:rsidP="00D467DE">
      <w:pPr>
        <w:jc w:val="both"/>
        <w:rPr>
          <w:szCs w:val="22"/>
        </w:rPr>
      </w:pPr>
      <w:r w:rsidRPr="008870C0">
        <w:rPr>
          <w:szCs w:val="22"/>
        </w:rPr>
        <w:t xml:space="preserve">       Splatnost faktury činí 21 dnů od doručení Objednateli.</w:t>
      </w:r>
    </w:p>
    <w:p w14:paraId="741736ED" w14:textId="77777777" w:rsidR="00023609" w:rsidRPr="008870C0" w:rsidRDefault="00023609" w:rsidP="00D467DE">
      <w:pPr>
        <w:jc w:val="both"/>
        <w:rPr>
          <w:szCs w:val="22"/>
        </w:rPr>
      </w:pPr>
    </w:p>
    <w:p w14:paraId="7B146469" w14:textId="775FCC97" w:rsidR="00023609" w:rsidRPr="008870C0" w:rsidRDefault="00023609" w:rsidP="00023609">
      <w:pPr>
        <w:ind w:left="851" w:hanging="425"/>
        <w:jc w:val="both"/>
        <w:rPr>
          <w:szCs w:val="22"/>
        </w:rPr>
      </w:pPr>
      <w:r w:rsidRPr="008870C0">
        <w:rPr>
          <w:szCs w:val="22"/>
        </w:rPr>
        <w:t xml:space="preserve">12. Zádržné ve výši 30 % za 2. Etapu a 10% za </w:t>
      </w:r>
      <w:r w:rsidR="000613FC">
        <w:rPr>
          <w:szCs w:val="22"/>
        </w:rPr>
        <w:t>3</w:t>
      </w:r>
      <w:r w:rsidRPr="008870C0">
        <w:rPr>
          <w:szCs w:val="22"/>
        </w:rPr>
        <w:t>. Etapu z dohodnuté ceny dané etapy bude Objednatelem Zhotoviteli následně uhrazeno na základě výzvy Zhotovitele zaslané Objednateli, jejíž přílohou bude doklad:</w:t>
      </w:r>
    </w:p>
    <w:p w14:paraId="585D1D15" w14:textId="581B5ED6" w:rsidR="00023609" w:rsidRPr="008870C0" w:rsidRDefault="00023609" w:rsidP="00023609">
      <w:pPr>
        <w:numPr>
          <w:ilvl w:val="1"/>
          <w:numId w:val="29"/>
        </w:numPr>
        <w:jc w:val="both"/>
        <w:rPr>
          <w:szCs w:val="22"/>
        </w:rPr>
      </w:pPr>
      <w:r w:rsidRPr="008870C0">
        <w:rPr>
          <w:szCs w:val="22"/>
        </w:rPr>
        <w:t xml:space="preserve">o vydání pravomocného společného povolení u 2. etapy nebo po uplynutí 6 měsíců od protokolárního předání této Etapy 2, podle toho, co nastane dříve za podmínky, že správní orgán (stavební úřad) nepřerušil řízení za účelem doplnění vyjádření a stanovisek DOSS, </w:t>
      </w:r>
    </w:p>
    <w:p w14:paraId="0FCDF1FC" w14:textId="3138B9FD" w:rsidR="00E17902" w:rsidRPr="008870C0" w:rsidRDefault="00023609" w:rsidP="00023609">
      <w:pPr>
        <w:numPr>
          <w:ilvl w:val="1"/>
          <w:numId w:val="29"/>
        </w:numPr>
        <w:spacing w:after="240"/>
        <w:jc w:val="both"/>
        <w:rPr>
          <w:szCs w:val="22"/>
        </w:rPr>
      </w:pPr>
      <w:r w:rsidRPr="008870C0">
        <w:rPr>
          <w:szCs w:val="22"/>
        </w:rPr>
        <w:t xml:space="preserve">potvrzení objednatele o podpisu smlouvy na stavební práce nebo o zrušení zadávacího řízení na zadání veřejné zakázky u </w:t>
      </w:r>
      <w:r w:rsidR="000613FC">
        <w:rPr>
          <w:szCs w:val="22"/>
        </w:rPr>
        <w:t>3</w:t>
      </w:r>
      <w:r w:rsidRPr="008870C0">
        <w:rPr>
          <w:szCs w:val="22"/>
        </w:rPr>
        <w:t>. etapy.</w:t>
      </w:r>
      <w:r w:rsidR="00272EE2" w:rsidRPr="008870C0">
        <w:rPr>
          <w:szCs w:val="22"/>
        </w:rPr>
        <w:t>“</w:t>
      </w:r>
    </w:p>
    <w:p w14:paraId="66D275B0" w14:textId="43F7261C" w:rsidR="001B7B8A" w:rsidRPr="008870C0" w:rsidRDefault="001B7B8A" w:rsidP="001B7B8A">
      <w:pPr>
        <w:numPr>
          <w:ilvl w:val="0"/>
          <w:numId w:val="16"/>
        </w:numPr>
        <w:spacing w:after="240"/>
        <w:jc w:val="both"/>
        <w:rPr>
          <w:szCs w:val="22"/>
        </w:rPr>
      </w:pPr>
      <w:r w:rsidRPr="008870C0">
        <w:rPr>
          <w:szCs w:val="22"/>
        </w:rPr>
        <w:t xml:space="preserve">Ostatní </w:t>
      </w:r>
      <w:r w:rsidR="009368EB" w:rsidRPr="008870C0">
        <w:rPr>
          <w:szCs w:val="22"/>
        </w:rPr>
        <w:t>ust</w:t>
      </w:r>
      <w:r w:rsidRPr="008870C0">
        <w:rPr>
          <w:szCs w:val="22"/>
        </w:rPr>
        <w:t>anovení Smlouvy, která nejsou dotčena tímto Dodatkem č. 1, zůstávají v platnosti.</w:t>
      </w:r>
    </w:p>
    <w:p w14:paraId="54759A94" w14:textId="512C9C37" w:rsidR="001B7B8A" w:rsidRPr="008870C0" w:rsidRDefault="001B7B8A" w:rsidP="00391356">
      <w:pPr>
        <w:numPr>
          <w:ilvl w:val="0"/>
          <w:numId w:val="16"/>
        </w:numPr>
        <w:spacing w:after="240"/>
        <w:jc w:val="both"/>
        <w:rPr>
          <w:szCs w:val="22"/>
        </w:rPr>
      </w:pPr>
      <w:r w:rsidRPr="008870C0">
        <w:rPr>
          <w:szCs w:val="22"/>
        </w:rPr>
        <w:t>Smluvní strany souhlasí se zveřejněním Dodatku č. 1 na internetových stránkách Městské části Praha 7.</w:t>
      </w:r>
    </w:p>
    <w:p w14:paraId="3EB8116F" w14:textId="14A1F84E" w:rsidR="001B7B8A" w:rsidRPr="008870C0" w:rsidRDefault="001B7B8A" w:rsidP="001B7B8A">
      <w:pPr>
        <w:numPr>
          <w:ilvl w:val="0"/>
          <w:numId w:val="16"/>
        </w:numPr>
        <w:spacing w:after="240"/>
        <w:jc w:val="both"/>
        <w:rPr>
          <w:szCs w:val="22"/>
        </w:rPr>
      </w:pPr>
      <w:r w:rsidRPr="008870C0">
        <w:rPr>
          <w:szCs w:val="22"/>
        </w:rPr>
        <w:t xml:space="preserve">Tento Dodatek č. 1 nabývá platnosti dnem jeho podpisu oběma smluvními stranami a účinnosti dnem jeho uveřejnění v registru smluv dle zákona č. 340/2015 Sb., o zvláštních podmínkách účinnosti některých smluv, uveřejňování </w:t>
      </w:r>
      <w:r w:rsidR="008E0AA2" w:rsidRPr="008870C0">
        <w:rPr>
          <w:szCs w:val="22"/>
        </w:rPr>
        <w:t>těchto smluv a o registru smluv (zákon o registru smluv) ve znění pozdějších předpisů.</w:t>
      </w:r>
      <w:r w:rsidRPr="008870C0">
        <w:rPr>
          <w:szCs w:val="22"/>
        </w:rPr>
        <w:t xml:space="preserve"> </w:t>
      </w:r>
    </w:p>
    <w:p w14:paraId="368197DB" w14:textId="4AFE6609" w:rsidR="001B7B8A" w:rsidRPr="008870C0" w:rsidRDefault="001B7B8A" w:rsidP="001B7B8A">
      <w:pPr>
        <w:numPr>
          <w:ilvl w:val="0"/>
          <w:numId w:val="16"/>
        </w:numPr>
        <w:spacing w:after="240"/>
        <w:jc w:val="both"/>
        <w:rPr>
          <w:b/>
          <w:szCs w:val="22"/>
        </w:rPr>
      </w:pPr>
      <w:r w:rsidRPr="008870C0">
        <w:rPr>
          <w:szCs w:val="22"/>
        </w:rPr>
        <w:t>Smluvní strany výslovně sjednávají, že uveřejnění tohoto Dodatku č. 1 v registru smluv dle zákona č. 340/2015 Sb., o zvláštních podmínkách účinnosti některých smluv, uveřejňování těchto smluv a o registru smluv</w:t>
      </w:r>
      <w:r w:rsidR="008E0AA2" w:rsidRPr="008870C0">
        <w:rPr>
          <w:szCs w:val="22"/>
        </w:rPr>
        <w:t xml:space="preserve"> (zákon o registru smluv)</w:t>
      </w:r>
      <w:r w:rsidRPr="008870C0">
        <w:rPr>
          <w:szCs w:val="22"/>
        </w:rPr>
        <w:t xml:space="preserve">, ve znění pozdějších předpisů, zajistí městská část Praha 7 do 30 dnů od podpisu Smlouvy a neprodleně bude druhou smluvní stranu o provedeném uveřejnění v registru smluv informovat. </w:t>
      </w:r>
    </w:p>
    <w:p w14:paraId="24AB7FCE" w14:textId="4DFB425D" w:rsidR="001B7B8A" w:rsidRPr="008870C0" w:rsidRDefault="001B7B8A" w:rsidP="001B7B8A">
      <w:pPr>
        <w:numPr>
          <w:ilvl w:val="0"/>
          <w:numId w:val="16"/>
        </w:numPr>
        <w:spacing w:after="240"/>
        <w:jc w:val="both"/>
        <w:rPr>
          <w:b/>
          <w:szCs w:val="22"/>
        </w:rPr>
      </w:pPr>
      <w:r w:rsidRPr="008870C0">
        <w:rPr>
          <w:szCs w:val="22"/>
        </w:rPr>
        <w:t>Smluvní strany souhlasí s uveřejněním tohoto Dodatku č. 1 ke Smlouvě a konstatují, že v Dodatku č. 1 nejsou informace, které nemohou být poskytnuty podle zákona č. 340/2015 Sb., o zvláštních podmínkách účinnosti některých smluv, uveřejňování těchto smluv a o registru smluv</w:t>
      </w:r>
      <w:r w:rsidR="008E0AA2" w:rsidRPr="008870C0">
        <w:rPr>
          <w:szCs w:val="22"/>
        </w:rPr>
        <w:t xml:space="preserve"> (zákon o registru smluv)</w:t>
      </w:r>
      <w:r w:rsidRPr="008870C0">
        <w:rPr>
          <w:szCs w:val="22"/>
        </w:rPr>
        <w:t xml:space="preserve"> a zákona č. 106/1999 Sb., o svobodném přístupu k informacím, ve znění pozdějších předpisů.</w:t>
      </w:r>
    </w:p>
    <w:p w14:paraId="6311C488" w14:textId="1C46DF6E" w:rsidR="00272EE2" w:rsidRPr="008870C0" w:rsidRDefault="001B7B8A" w:rsidP="001B7B8A">
      <w:pPr>
        <w:numPr>
          <w:ilvl w:val="0"/>
          <w:numId w:val="16"/>
        </w:numPr>
        <w:spacing w:after="240"/>
        <w:jc w:val="both"/>
        <w:rPr>
          <w:szCs w:val="22"/>
        </w:rPr>
      </w:pPr>
      <w:r w:rsidRPr="008870C0">
        <w:rPr>
          <w:szCs w:val="22"/>
        </w:rPr>
        <w:t>Dodatek č. 1 se vyhotovuje v pěti vyhotoveních</w:t>
      </w:r>
      <w:r w:rsidR="000D694A" w:rsidRPr="008870C0">
        <w:rPr>
          <w:szCs w:val="22"/>
        </w:rPr>
        <w:t xml:space="preserve"> s platností originálu, z nichž Objedn</w:t>
      </w:r>
      <w:r w:rsidRPr="008870C0">
        <w:rPr>
          <w:szCs w:val="22"/>
        </w:rPr>
        <w:t>atel</w:t>
      </w:r>
      <w:r w:rsidR="000D694A" w:rsidRPr="008870C0">
        <w:rPr>
          <w:szCs w:val="22"/>
        </w:rPr>
        <w:t xml:space="preserve"> obdrží tři stejnopisy a Poskytova</w:t>
      </w:r>
      <w:r w:rsidRPr="008870C0">
        <w:rPr>
          <w:szCs w:val="22"/>
        </w:rPr>
        <w:t xml:space="preserve">tel dva stejnopisy. </w:t>
      </w:r>
      <w:r w:rsidR="00272EE2" w:rsidRPr="008870C0">
        <w:rPr>
          <w:szCs w:val="22"/>
        </w:rPr>
        <w:t xml:space="preserve"> </w:t>
      </w:r>
    </w:p>
    <w:p w14:paraId="2D880C92" w14:textId="77777777" w:rsidR="00CC4D36" w:rsidRDefault="008942CC" w:rsidP="001617A9">
      <w:pPr>
        <w:spacing w:line="240" w:lineRule="atLeast"/>
        <w:jc w:val="both"/>
        <w:rPr>
          <w:szCs w:val="22"/>
          <w:lang w:eastAsia="cs-CZ"/>
        </w:rPr>
      </w:pPr>
      <w:r w:rsidRPr="003C15F0">
        <w:rPr>
          <w:szCs w:val="22"/>
          <w:lang w:eastAsia="cs-CZ"/>
        </w:rPr>
        <w:t xml:space="preserve">Přílohy: </w:t>
      </w:r>
    </w:p>
    <w:p w14:paraId="19157935" w14:textId="0D5C2AAA" w:rsidR="00CC4D36" w:rsidRPr="00405E2E" w:rsidRDefault="00CC4D36" w:rsidP="001617A9">
      <w:pPr>
        <w:spacing w:line="240" w:lineRule="atLeast"/>
        <w:jc w:val="both"/>
        <w:rPr>
          <w:color w:val="000000" w:themeColor="text1"/>
          <w:szCs w:val="22"/>
          <w:lang w:eastAsia="cs-CZ"/>
        </w:rPr>
      </w:pPr>
      <w:r w:rsidRPr="00405E2E">
        <w:rPr>
          <w:color w:val="000000" w:themeColor="text1"/>
          <w:szCs w:val="22"/>
          <w:lang w:eastAsia="cs-CZ"/>
        </w:rPr>
        <w:t>Příloha č. 1 - Žádost o úpravu podmínek fakturace akce</w:t>
      </w:r>
    </w:p>
    <w:p w14:paraId="553CB4D5" w14:textId="1DCDA111" w:rsidR="00267F05" w:rsidRPr="003C15F0" w:rsidRDefault="00CC4D36" w:rsidP="001617A9">
      <w:pPr>
        <w:spacing w:line="240" w:lineRule="atLeast"/>
        <w:jc w:val="both"/>
        <w:rPr>
          <w:szCs w:val="22"/>
          <w:lang w:eastAsia="cs-CZ"/>
        </w:rPr>
      </w:pPr>
      <w:r>
        <w:rPr>
          <w:szCs w:val="22"/>
          <w:lang w:eastAsia="cs-CZ"/>
        </w:rPr>
        <w:t xml:space="preserve">Příloha č. 2 - </w:t>
      </w:r>
      <w:r w:rsidR="008942CC" w:rsidRPr="003C15F0">
        <w:rPr>
          <w:szCs w:val="22"/>
          <w:lang w:eastAsia="cs-CZ"/>
        </w:rPr>
        <w:t>Pověření k zástupu pro místostarostu</w:t>
      </w:r>
      <w:r w:rsidR="003C15F0" w:rsidRPr="003C15F0">
        <w:rPr>
          <w:szCs w:val="22"/>
          <w:lang w:eastAsia="cs-CZ"/>
        </w:rPr>
        <w:t xml:space="preserve"> MČ P7</w:t>
      </w:r>
      <w:r w:rsidR="008942CC" w:rsidRPr="003C15F0">
        <w:rPr>
          <w:szCs w:val="22"/>
          <w:lang w:eastAsia="cs-CZ"/>
        </w:rPr>
        <w:tab/>
      </w:r>
    </w:p>
    <w:p w14:paraId="062BB998" w14:textId="77777777" w:rsidR="008942CC" w:rsidRPr="008870C0" w:rsidRDefault="008942CC" w:rsidP="001617A9">
      <w:pPr>
        <w:spacing w:line="240" w:lineRule="atLeast"/>
        <w:jc w:val="both"/>
        <w:rPr>
          <w:szCs w:val="22"/>
          <w:lang w:eastAsia="cs-CZ"/>
        </w:rPr>
      </w:pPr>
    </w:p>
    <w:p w14:paraId="0C1B6320" w14:textId="1A5B153B" w:rsidR="00272EE2" w:rsidRPr="008870C0" w:rsidRDefault="00272EE2" w:rsidP="001617A9">
      <w:pPr>
        <w:spacing w:line="240" w:lineRule="atLeast"/>
        <w:jc w:val="both"/>
        <w:rPr>
          <w:szCs w:val="22"/>
          <w:lang w:eastAsia="cs-CZ"/>
        </w:rPr>
      </w:pPr>
      <w:r w:rsidRPr="008870C0">
        <w:rPr>
          <w:szCs w:val="22"/>
          <w:lang w:eastAsia="cs-CZ"/>
        </w:rPr>
        <w:t xml:space="preserve">V Praze dne </w:t>
      </w:r>
      <w:r w:rsidR="00603D5A">
        <w:rPr>
          <w:szCs w:val="22"/>
          <w:lang w:eastAsia="cs-CZ"/>
        </w:rPr>
        <w:t xml:space="preserve">24. 7. </w:t>
      </w:r>
      <w:r w:rsidR="009B70C5" w:rsidRPr="008870C0">
        <w:rPr>
          <w:szCs w:val="22"/>
          <w:lang w:eastAsia="cs-CZ"/>
        </w:rPr>
        <w:t>2025</w:t>
      </w:r>
      <w:r w:rsidR="001617A9" w:rsidRPr="008870C0">
        <w:rPr>
          <w:szCs w:val="22"/>
          <w:lang w:eastAsia="cs-CZ"/>
        </w:rPr>
        <w:tab/>
      </w:r>
      <w:r w:rsidR="001617A9" w:rsidRPr="008870C0">
        <w:rPr>
          <w:szCs w:val="22"/>
          <w:lang w:eastAsia="cs-CZ"/>
        </w:rPr>
        <w:tab/>
      </w:r>
      <w:r w:rsidR="001617A9" w:rsidRPr="008870C0">
        <w:rPr>
          <w:szCs w:val="22"/>
          <w:lang w:eastAsia="cs-CZ"/>
        </w:rPr>
        <w:tab/>
        <w:t xml:space="preserve">           </w:t>
      </w:r>
      <w:r w:rsidR="001617A9" w:rsidRPr="008870C0">
        <w:rPr>
          <w:szCs w:val="22"/>
          <w:lang w:eastAsia="cs-CZ"/>
        </w:rPr>
        <w:tab/>
      </w:r>
      <w:r w:rsidR="001617A9" w:rsidRPr="008870C0">
        <w:rPr>
          <w:szCs w:val="22"/>
          <w:lang w:eastAsia="cs-CZ"/>
        </w:rPr>
        <w:tab/>
      </w:r>
      <w:r w:rsidRPr="008870C0">
        <w:rPr>
          <w:szCs w:val="22"/>
          <w:lang w:eastAsia="cs-CZ"/>
        </w:rPr>
        <w:t xml:space="preserve">V Praze dne </w:t>
      </w:r>
      <w:r w:rsidR="00603D5A">
        <w:rPr>
          <w:szCs w:val="22"/>
          <w:lang w:eastAsia="cs-CZ"/>
        </w:rPr>
        <w:t>28. 7.</w:t>
      </w:r>
      <w:r w:rsidR="000737E9" w:rsidRPr="008870C0">
        <w:rPr>
          <w:szCs w:val="22"/>
          <w:lang w:eastAsia="cs-CZ"/>
        </w:rPr>
        <w:t xml:space="preserve"> 202</w:t>
      </w:r>
      <w:r w:rsidR="009B70C5" w:rsidRPr="008870C0">
        <w:rPr>
          <w:szCs w:val="22"/>
          <w:lang w:eastAsia="cs-CZ"/>
        </w:rPr>
        <w:t>5</w:t>
      </w:r>
    </w:p>
    <w:p w14:paraId="0AA0234C" w14:textId="77777777" w:rsidR="00AE5570" w:rsidRPr="008870C0" w:rsidRDefault="00AE5570" w:rsidP="001617A9">
      <w:pPr>
        <w:spacing w:line="240" w:lineRule="atLeast"/>
        <w:jc w:val="both"/>
        <w:rPr>
          <w:szCs w:val="22"/>
        </w:rPr>
      </w:pPr>
    </w:p>
    <w:p w14:paraId="22057C4A" w14:textId="504AD1AF" w:rsidR="00272EE2" w:rsidRPr="008870C0" w:rsidRDefault="00272EE2" w:rsidP="001617A9">
      <w:pPr>
        <w:spacing w:line="240" w:lineRule="atLeast"/>
        <w:jc w:val="both"/>
        <w:rPr>
          <w:szCs w:val="22"/>
        </w:rPr>
      </w:pPr>
      <w:r w:rsidRPr="008870C0">
        <w:rPr>
          <w:szCs w:val="22"/>
        </w:rPr>
        <w:t>Objednatel</w:t>
      </w:r>
      <w:r w:rsidRPr="008870C0">
        <w:rPr>
          <w:szCs w:val="22"/>
        </w:rPr>
        <w:tab/>
      </w:r>
      <w:r w:rsidRPr="008870C0">
        <w:rPr>
          <w:szCs w:val="22"/>
        </w:rPr>
        <w:tab/>
      </w:r>
      <w:r w:rsidRPr="008870C0">
        <w:rPr>
          <w:szCs w:val="22"/>
        </w:rPr>
        <w:tab/>
      </w:r>
      <w:r w:rsidRPr="008870C0">
        <w:rPr>
          <w:szCs w:val="22"/>
        </w:rPr>
        <w:tab/>
      </w:r>
      <w:r w:rsidRPr="008870C0">
        <w:rPr>
          <w:szCs w:val="22"/>
        </w:rPr>
        <w:tab/>
      </w:r>
      <w:r w:rsidRPr="008870C0">
        <w:rPr>
          <w:szCs w:val="22"/>
        </w:rPr>
        <w:tab/>
      </w:r>
      <w:r w:rsidRPr="008870C0">
        <w:rPr>
          <w:szCs w:val="22"/>
        </w:rPr>
        <w:tab/>
      </w:r>
      <w:r w:rsidR="008F1713" w:rsidRPr="008870C0">
        <w:rPr>
          <w:szCs w:val="22"/>
        </w:rPr>
        <w:t>Poskytova</w:t>
      </w:r>
      <w:r w:rsidRPr="008870C0">
        <w:rPr>
          <w:szCs w:val="22"/>
        </w:rPr>
        <w:t>tel</w:t>
      </w:r>
    </w:p>
    <w:p w14:paraId="167D72F2" w14:textId="77777777" w:rsidR="00405E2E" w:rsidRDefault="00405E2E" w:rsidP="001B7B8A">
      <w:pPr>
        <w:overflowPunct w:val="0"/>
        <w:autoSpaceDE w:val="0"/>
        <w:jc w:val="both"/>
        <w:textAlignment w:val="baseline"/>
        <w:rPr>
          <w:szCs w:val="22"/>
          <w:lang w:eastAsia="ar-SA"/>
        </w:rPr>
      </w:pPr>
    </w:p>
    <w:p w14:paraId="65AF759E" w14:textId="77777777" w:rsidR="00405E2E" w:rsidRPr="008870C0" w:rsidRDefault="00405E2E" w:rsidP="001B7B8A">
      <w:pPr>
        <w:overflowPunct w:val="0"/>
        <w:autoSpaceDE w:val="0"/>
        <w:jc w:val="both"/>
        <w:textAlignment w:val="baseline"/>
        <w:rPr>
          <w:szCs w:val="22"/>
          <w:lang w:eastAsia="ar-SA"/>
        </w:rPr>
      </w:pPr>
    </w:p>
    <w:p w14:paraId="353467CE" w14:textId="378D59F6" w:rsidR="000737E9" w:rsidRPr="008870C0" w:rsidRDefault="000737E9" w:rsidP="000737E9">
      <w:pPr>
        <w:tabs>
          <w:tab w:val="left" w:pos="0"/>
        </w:tabs>
        <w:rPr>
          <w:bCs/>
          <w:szCs w:val="22"/>
        </w:rPr>
      </w:pPr>
      <w:r w:rsidRPr="008870C0">
        <w:rPr>
          <w:bCs/>
          <w:szCs w:val="22"/>
        </w:rPr>
        <w:t>…………………………..</w:t>
      </w:r>
      <w:r w:rsidRPr="008870C0">
        <w:rPr>
          <w:bCs/>
          <w:szCs w:val="22"/>
        </w:rPr>
        <w:tab/>
      </w:r>
      <w:r w:rsidRPr="008870C0">
        <w:rPr>
          <w:bCs/>
          <w:szCs w:val="22"/>
        </w:rPr>
        <w:tab/>
      </w:r>
      <w:r w:rsidRPr="008870C0">
        <w:rPr>
          <w:bCs/>
          <w:szCs w:val="22"/>
        </w:rPr>
        <w:tab/>
      </w:r>
      <w:r w:rsidRPr="008870C0">
        <w:rPr>
          <w:bCs/>
          <w:szCs w:val="22"/>
        </w:rPr>
        <w:tab/>
      </w:r>
      <w:r w:rsidRPr="008870C0">
        <w:rPr>
          <w:bCs/>
          <w:szCs w:val="22"/>
        </w:rPr>
        <w:tab/>
        <w:t>….…..……………………</w:t>
      </w:r>
    </w:p>
    <w:p w14:paraId="3CE9FFD5" w14:textId="77777777" w:rsidR="008870C0" w:rsidRDefault="005744ED" w:rsidP="009B70C5">
      <w:pPr>
        <w:suppressAutoHyphens w:val="0"/>
        <w:autoSpaceDE w:val="0"/>
        <w:autoSpaceDN w:val="0"/>
        <w:adjustRightInd w:val="0"/>
        <w:rPr>
          <w:b/>
          <w:szCs w:val="22"/>
        </w:rPr>
      </w:pPr>
      <w:r w:rsidRPr="008870C0">
        <w:rPr>
          <w:b/>
          <w:szCs w:val="22"/>
        </w:rPr>
        <w:t>Městská část Praha 7</w:t>
      </w:r>
      <w:r w:rsidRPr="008870C0">
        <w:rPr>
          <w:b/>
          <w:szCs w:val="22"/>
        </w:rPr>
        <w:tab/>
      </w:r>
      <w:r w:rsidRPr="008870C0">
        <w:rPr>
          <w:b/>
          <w:szCs w:val="22"/>
        </w:rPr>
        <w:tab/>
      </w:r>
      <w:r w:rsidRPr="008870C0">
        <w:rPr>
          <w:b/>
          <w:szCs w:val="22"/>
        </w:rPr>
        <w:tab/>
        <w:t xml:space="preserve">   </w:t>
      </w:r>
      <w:r w:rsidRPr="008870C0">
        <w:rPr>
          <w:b/>
          <w:szCs w:val="22"/>
        </w:rPr>
        <w:tab/>
      </w:r>
      <w:r w:rsidRPr="008870C0">
        <w:rPr>
          <w:b/>
          <w:szCs w:val="22"/>
        </w:rPr>
        <w:tab/>
      </w:r>
      <w:r w:rsidR="008870C0">
        <w:rPr>
          <w:b/>
          <w:szCs w:val="22"/>
        </w:rPr>
        <w:t>Apropos Architects s.r.o.</w:t>
      </w:r>
    </w:p>
    <w:p w14:paraId="3F052093" w14:textId="7A1385E9" w:rsidR="002B1C09" w:rsidRPr="008870C0" w:rsidRDefault="008870C0" w:rsidP="008870C0">
      <w:pPr>
        <w:suppressAutoHyphens w:val="0"/>
        <w:autoSpaceDE w:val="0"/>
        <w:autoSpaceDN w:val="0"/>
        <w:adjustRightInd w:val="0"/>
        <w:rPr>
          <w:szCs w:val="22"/>
        </w:rPr>
      </w:pPr>
      <w:r w:rsidRPr="008870C0">
        <w:rPr>
          <w:szCs w:val="22"/>
        </w:rPr>
        <w:t xml:space="preserve">Mgr. Jan Čižinský </w:t>
      </w:r>
      <w:r>
        <w:rPr>
          <w:szCs w:val="22"/>
        </w:rPr>
        <w:t xml:space="preserve"> </w:t>
      </w:r>
      <w:r>
        <w:rPr>
          <w:szCs w:val="22"/>
        </w:rPr>
        <w:tab/>
      </w:r>
      <w:r>
        <w:rPr>
          <w:szCs w:val="22"/>
        </w:rPr>
        <w:tab/>
      </w:r>
      <w:r>
        <w:rPr>
          <w:szCs w:val="22"/>
        </w:rPr>
        <w:tab/>
      </w:r>
      <w:r>
        <w:rPr>
          <w:szCs w:val="22"/>
        </w:rPr>
        <w:tab/>
      </w:r>
      <w:r>
        <w:rPr>
          <w:szCs w:val="22"/>
        </w:rPr>
        <w:tab/>
      </w:r>
      <w:r>
        <w:rPr>
          <w:szCs w:val="22"/>
        </w:rPr>
        <w:tab/>
        <w:t>Ing. arch. Michal Gabaš</w:t>
      </w:r>
    </w:p>
    <w:p w14:paraId="6CD649BF" w14:textId="58A4433C" w:rsidR="005744ED" w:rsidRPr="008870C0" w:rsidRDefault="008870C0" w:rsidP="005744ED">
      <w:pPr>
        <w:tabs>
          <w:tab w:val="left" w:pos="0"/>
        </w:tabs>
        <w:rPr>
          <w:szCs w:val="22"/>
        </w:rPr>
      </w:pPr>
      <w:r>
        <w:rPr>
          <w:szCs w:val="22"/>
        </w:rPr>
        <w:t>s</w:t>
      </w:r>
      <w:r w:rsidRPr="008870C0">
        <w:rPr>
          <w:szCs w:val="22"/>
        </w:rPr>
        <w:t>tarosta</w:t>
      </w:r>
      <w:r>
        <w:rPr>
          <w:szCs w:val="22"/>
        </w:rPr>
        <w:t xml:space="preserve">  </w:t>
      </w:r>
      <w:r>
        <w:rPr>
          <w:szCs w:val="22"/>
        </w:rPr>
        <w:tab/>
      </w:r>
      <w:r w:rsidR="002B1C09" w:rsidRPr="008870C0">
        <w:rPr>
          <w:szCs w:val="22"/>
        </w:rPr>
        <w:tab/>
      </w:r>
      <w:r w:rsidR="002B1C09" w:rsidRPr="008870C0">
        <w:rPr>
          <w:szCs w:val="22"/>
        </w:rPr>
        <w:tab/>
      </w:r>
      <w:r w:rsidR="002B1C09" w:rsidRPr="008870C0">
        <w:rPr>
          <w:szCs w:val="22"/>
        </w:rPr>
        <w:tab/>
      </w:r>
      <w:r w:rsidR="002B1C09" w:rsidRPr="008870C0">
        <w:rPr>
          <w:szCs w:val="22"/>
        </w:rPr>
        <w:tab/>
      </w:r>
      <w:r w:rsidR="002B1C09" w:rsidRPr="008870C0">
        <w:rPr>
          <w:szCs w:val="22"/>
        </w:rPr>
        <w:tab/>
      </w:r>
      <w:r w:rsidR="002B1C09" w:rsidRPr="008870C0">
        <w:rPr>
          <w:szCs w:val="22"/>
        </w:rPr>
        <w:tab/>
        <w:t>jednatel</w:t>
      </w:r>
      <w:r w:rsidR="005744ED" w:rsidRPr="008870C0">
        <w:rPr>
          <w:szCs w:val="22"/>
        </w:rPr>
        <w:tab/>
      </w:r>
      <w:r w:rsidR="002B1C09" w:rsidRPr="008870C0">
        <w:rPr>
          <w:szCs w:val="22"/>
        </w:rPr>
        <w:tab/>
      </w:r>
      <w:r w:rsidR="002B1C09" w:rsidRPr="008870C0">
        <w:rPr>
          <w:szCs w:val="22"/>
        </w:rPr>
        <w:tab/>
      </w:r>
    </w:p>
    <w:p w14:paraId="73D828C8" w14:textId="529815C9" w:rsidR="005744ED" w:rsidRPr="008870C0" w:rsidRDefault="005744ED" w:rsidP="005744ED">
      <w:pPr>
        <w:pStyle w:val="Import40"/>
        <w:tabs>
          <w:tab w:val="clear" w:pos="360"/>
          <w:tab w:val="clear" w:pos="4248"/>
          <w:tab w:val="clear" w:pos="5976"/>
          <w:tab w:val="left" w:pos="720"/>
        </w:tabs>
        <w:rPr>
          <w:rFonts w:ascii="Arial" w:hAnsi="Arial" w:cs="Arial"/>
          <w:sz w:val="22"/>
          <w:szCs w:val="22"/>
          <w:lang w:val="cs-CZ"/>
        </w:rPr>
      </w:pPr>
      <w:r w:rsidRPr="008870C0">
        <w:rPr>
          <w:rFonts w:ascii="Arial" w:hAnsi="Arial" w:cs="Arial"/>
          <w:sz w:val="22"/>
          <w:szCs w:val="22"/>
          <w:lang w:val="cs-CZ"/>
        </w:rPr>
        <w:tab/>
      </w:r>
      <w:r w:rsidRPr="008870C0">
        <w:rPr>
          <w:rFonts w:ascii="Arial" w:hAnsi="Arial" w:cs="Arial"/>
          <w:sz w:val="22"/>
          <w:szCs w:val="22"/>
          <w:lang w:val="cs-CZ"/>
        </w:rPr>
        <w:tab/>
      </w:r>
      <w:r w:rsidRPr="008870C0">
        <w:rPr>
          <w:rFonts w:ascii="Arial" w:hAnsi="Arial" w:cs="Arial"/>
          <w:sz w:val="22"/>
          <w:szCs w:val="22"/>
          <w:lang w:val="cs-CZ"/>
        </w:rPr>
        <w:tab/>
      </w:r>
      <w:r w:rsidRPr="008870C0">
        <w:rPr>
          <w:rFonts w:ascii="Arial" w:hAnsi="Arial" w:cs="Arial"/>
          <w:sz w:val="22"/>
          <w:szCs w:val="22"/>
          <w:lang w:val="cs-CZ"/>
        </w:rPr>
        <w:tab/>
      </w:r>
      <w:r w:rsidRPr="008870C0">
        <w:rPr>
          <w:rFonts w:ascii="Arial" w:hAnsi="Arial" w:cs="Arial"/>
          <w:sz w:val="22"/>
          <w:szCs w:val="22"/>
          <w:lang w:val="cs-CZ"/>
        </w:rPr>
        <w:tab/>
      </w:r>
      <w:r w:rsidRPr="008870C0">
        <w:rPr>
          <w:rFonts w:ascii="Arial" w:hAnsi="Arial" w:cs="Arial"/>
          <w:sz w:val="22"/>
          <w:szCs w:val="22"/>
          <w:lang w:val="cs-CZ"/>
        </w:rPr>
        <w:tab/>
      </w:r>
      <w:r w:rsidRPr="008870C0">
        <w:rPr>
          <w:rFonts w:ascii="Arial" w:hAnsi="Arial" w:cs="Arial"/>
          <w:sz w:val="22"/>
          <w:szCs w:val="22"/>
          <w:lang w:val="cs-CZ"/>
        </w:rPr>
        <w:tab/>
      </w:r>
    </w:p>
    <w:p w14:paraId="31F74367" w14:textId="77777777" w:rsidR="005744ED" w:rsidRPr="008870C0" w:rsidRDefault="005744ED" w:rsidP="000737E9">
      <w:pPr>
        <w:tabs>
          <w:tab w:val="left" w:pos="0"/>
        </w:tabs>
        <w:rPr>
          <w:bCs/>
          <w:szCs w:val="22"/>
        </w:rPr>
      </w:pPr>
    </w:p>
    <w:sectPr w:rsidR="005744ED" w:rsidRPr="008870C0" w:rsidSect="00267F05">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292C5" w14:textId="77777777" w:rsidR="00F31FDF" w:rsidRDefault="00F31FDF" w:rsidP="00920B07">
      <w:r>
        <w:separator/>
      </w:r>
    </w:p>
  </w:endnote>
  <w:endnote w:type="continuationSeparator" w:id="0">
    <w:p w14:paraId="377240DF" w14:textId="77777777" w:rsidR="00F31FDF" w:rsidRDefault="00F31FDF" w:rsidP="00920B07">
      <w:r>
        <w:continuationSeparator/>
      </w:r>
    </w:p>
  </w:endnote>
  <w:endnote w:type="continuationNotice" w:id="1">
    <w:p w14:paraId="79CF1EF6" w14:textId="77777777" w:rsidR="00F31FDF" w:rsidRDefault="00F31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vinio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5088"/>
      <w:docPartObj>
        <w:docPartGallery w:val="Page Numbers (Bottom of Page)"/>
        <w:docPartUnique/>
      </w:docPartObj>
    </w:sdtPr>
    <w:sdtEndPr/>
    <w:sdtContent>
      <w:sdt>
        <w:sdtPr>
          <w:id w:val="1494984272"/>
          <w:docPartObj>
            <w:docPartGallery w:val="Page Numbers (Top of Page)"/>
            <w:docPartUnique/>
          </w:docPartObj>
        </w:sdtPr>
        <w:sdtEndPr/>
        <w:sdtContent>
          <w:p w14:paraId="5BF295E2" w14:textId="629CBB40" w:rsidR="00F31FDF" w:rsidRDefault="00F31FDF">
            <w:pPr>
              <w:pStyle w:val="Zpat"/>
              <w:jc w:val="right"/>
            </w:pPr>
            <w:r w:rsidRPr="00485F8A">
              <w:rPr>
                <w:rFonts w:ascii="Arial Narrow" w:hAnsi="Arial Narrow"/>
                <w:sz w:val="16"/>
                <w:szCs w:val="16"/>
              </w:rPr>
              <w:t xml:space="preserve">Stránka </w:t>
            </w:r>
            <w:r w:rsidRPr="00485F8A">
              <w:rPr>
                <w:rFonts w:ascii="Arial Narrow" w:hAnsi="Arial Narrow"/>
                <w:b/>
                <w:bCs/>
                <w:sz w:val="16"/>
                <w:szCs w:val="16"/>
              </w:rPr>
              <w:fldChar w:fldCharType="begin"/>
            </w:r>
            <w:r w:rsidRPr="00485F8A">
              <w:rPr>
                <w:rFonts w:ascii="Arial Narrow" w:hAnsi="Arial Narrow"/>
                <w:b/>
                <w:bCs/>
                <w:sz w:val="16"/>
                <w:szCs w:val="16"/>
              </w:rPr>
              <w:instrText>PAGE</w:instrText>
            </w:r>
            <w:r w:rsidRPr="00485F8A">
              <w:rPr>
                <w:rFonts w:ascii="Arial Narrow" w:hAnsi="Arial Narrow"/>
                <w:b/>
                <w:bCs/>
                <w:sz w:val="16"/>
                <w:szCs w:val="16"/>
              </w:rPr>
              <w:fldChar w:fldCharType="separate"/>
            </w:r>
            <w:r w:rsidR="00D0143E">
              <w:rPr>
                <w:rFonts w:ascii="Arial Narrow" w:hAnsi="Arial Narrow"/>
                <w:b/>
                <w:bCs/>
                <w:noProof/>
                <w:sz w:val="16"/>
                <w:szCs w:val="16"/>
              </w:rPr>
              <w:t>2</w:t>
            </w:r>
            <w:r w:rsidRPr="00485F8A">
              <w:rPr>
                <w:rFonts w:ascii="Arial Narrow" w:hAnsi="Arial Narrow"/>
                <w:b/>
                <w:bCs/>
                <w:sz w:val="16"/>
                <w:szCs w:val="16"/>
              </w:rPr>
              <w:fldChar w:fldCharType="end"/>
            </w:r>
            <w:r w:rsidRPr="00485F8A">
              <w:rPr>
                <w:rFonts w:ascii="Arial Narrow" w:hAnsi="Arial Narrow"/>
                <w:sz w:val="16"/>
                <w:szCs w:val="16"/>
              </w:rPr>
              <w:t xml:space="preserve"> z </w:t>
            </w:r>
            <w:r w:rsidRPr="00485F8A">
              <w:rPr>
                <w:rFonts w:ascii="Arial Narrow" w:hAnsi="Arial Narrow"/>
                <w:b/>
                <w:bCs/>
                <w:sz w:val="16"/>
                <w:szCs w:val="16"/>
              </w:rPr>
              <w:fldChar w:fldCharType="begin"/>
            </w:r>
            <w:r w:rsidRPr="00485F8A">
              <w:rPr>
                <w:rFonts w:ascii="Arial Narrow" w:hAnsi="Arial Narrow"/>
                <w:b/>
                <w:bCs/>
                <w:sz w:val="16"/>
                <w:szCs w:val="16"/>
              </w:rPr>
              <w:instrText>NUMPAGES</w:instrText>
            </w:r>
            <w:r w:rsidRPr="00485F8A">
              <w:rPr>
                <w:rFonts w:ascii="Arial Narrow" w:hAnsi="Arial Narrow"/>
                <w:b/>
                <w:bCs/>
                <w:sz w:val="16"/>
                <w:szCs w:val="16"/>
              </w:rPr>
              <w:fldChar w:fldCharType="separate"/>
            </w:r>
            <w:r w:rsidR="00D0143E">
              <w:rPr>
                <w:rFonts w:ascii="Arial Narrow" w:hAnsi="Arial Narrow"/>
                <w:b/>
                <w:bCs/>
                <w:noProof/>
                <w:sz w:val="16"/>
                <w:szCs w:val="16"/>
              </w:rPr>
              <w:t>5</w:t>
            </w:r>
            <w:r w:rsidRPr="00485F8A">
              <w:rPr>
                <w:rFonts w:ascii="Arial Narrow" w:hAnsi="Arial Narrow"/>
                <w:b/>
                <w:bCs/>
                <w:sz w:val="16"/>
                <w:szCs w:val="16"/>
              </w:rPr>
              <w:fldChar w:fldCharType="end"/>
            </w:r>
          </w:p>
        </w:sdtContent>
      </w:sdt>
    </w:sdtContent>
  </w:sdt>
  <w:p w14:paraId="5057C774" w14:textId="77777777" w:rsidR="00F31FDF" w:rsidRDefault="00F31FD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46472" w14:textId="77777777" w:rsidR="00F31FDF" w:rsidRDefault="00F31FDF" w:rsidP="00920B07">
      <w:r>
        <w:separator/>
      </w:r>
    </w:p>
  </w:footnote>
  <w:footnote w:type="continuationSeparator" w:id="0">
    <w:p w14:paraId="7E0F395A" w14:textId="77777777" w:rsidR="00F31FDF" w:rsidRDefault="00F31FDF" w:rsidP="00920B07">
      <w:r>
        <w:continuationSeparator/>
      </w:r>
    </w:p>
  </w:footnote>
  <w:footnote w:type="continuationNotice" w:id="1">
    <w:p w14:paraId="1F05C47A" w14:textId="77777777" w:rsidR="00F31FDF" w:rsidRDefault="00F31F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57C69BC4"/>
    <w:lvl w:ilvl="0">
      <w:start w:val="1"/>
      <w:numFmt w:val="decimal"/>
      <w:lvlText w:val="%1."/>
      <w:lvlJc w:val="left"/>
      <w:pPr>
        <w:tabs>
          <w:tab w:val="num" w:pos="340"/>
        </w:tabs>
        <w:ind w:left="340" w:hanging="340"/>
      </w:pPr>
      <w:rPr>
        <w:rFonts w:ascii="Arial" w:hAnsi="Arial" w:cs="Arial" w:hint="default"/>
        <w:b/>
        <w:i w:val="0"/>
        <w:sz w:val="22"/>
        <w:szCs w:val="20"/>
      </w:rPr>
    </w:lvl>
    <w:lvl w:ilvl="1">
      <w:start w:val="1"/>
      <w:numFmt w:val="decimal"/>
      <w:isLgl/>
      <w:lvlText w:val="%1.%2"/>
      <w:lvlJc w:val="left"/>
      <w:pPr>
        <w:ind w:left="360" w:hanging="360"/>
      </w:pPr>
      <w:rPr>
        <w:rFonts w:ascii="Arial" w:hAnsi="Arial" w:cs="Arial"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6D2051"/>
    <w:multiLevelType w:val="hybridMultilevel"/>
    <w:tmpl w:val="470C2326"/>
    <w:lvl w:ilvl="0" w:tplc="E918E524">
      <w:start w:val="1"/>
      <w:numFmt w:val="decimal"/>
      <w:lvlText w:val="%1."/>
      <w:lvlJc w:val="left"/>
      <w:pPr>
        <w:ind w:left="644" w:hanging="360"/>
      </w:pPr>
      <w:rPr>
        <w:rFonts w:hint="default"/>
        <w:b w:val="0"/>
        <w:bCs/>
        <w:color w:val="auto"/>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3" w15:restartNumberingAfterBreak="0">
    <w:nsid w:val="05CC0508"/>
    <w:multiLevelType w:val="multilevel"/>
    <w:tmpl w:val="5FB62724"/>
    <w:lvl w:ilvl="0">
      <w:start w:val="9"/>
      <w:numFmt w:val="decimal"/>
      <w:lvlText w:val="%1."/>
      <w:lvlJc w:val="left"/>
      <w:pPr>
        <w:tabs>
          <w:tab w:val="num" w:pos="360"/>
        </w:tabs>
        <w:ind w:left="360" w:hanging="360"/>
      </w:pPr>
      <w:rPr>
        <w:rFonts w:hint="default"/>
      </w:rPr>
    </w:lvl>
    <w:lvl w:ilvl="1">
      <w:start w:val="1"/>
      <w:numFmt w:val="none"/>
      <w:lvlText w:val="10.3"/>
      <w:lvlJc w:val="left"/>
      <w:pPr>
        <w:tabs>
          <w:tab w:val="num" w:pos="180"/>
        </w:tabs>
        <w:ind w:left="1644" w:hanging="1824"/>
      </w:pPr>
      <w:rPr>
        <w:rFonts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4" w15:restartNumberingAfterBreak="0">
    <w:nsid w:val="07FE51D7"/>
    <w:multiLevelType w:val="hybridMultilevel"/>
    <w:tmpl w:val="6EB204FE"/>
    <w:lvl w:ilvl="0" w:tplc="33CEE4F0">
      <w:numFmt w:val="bullet"/>
      <w:lvlText w:val="-"/>
      <w:lvlJc w:val="left"/>
      <w:pPr>
        <w:ind w:left="700" w:hanging="360"/>
      </w:pPr>
      <w:rPr>
        <w:rFonts w:ascii="Arial" w:eastAsia="Times New Roman"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 w15:restartNumberingAfterBreak="0">
    <w:nsid w:val="0CD87A2B"/>
    <w:multiLevelType w:val="hybridMultilevel"/>
    <w:tmpl w:val="0B2ABD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AD7030"/>
    <w:multiLevelType w:val="hybridMultilevel"/>
    <w:tmpl w:val="982655BC"/>
    <w:lvl w:ilvl="0" w:tplc="A55EAE4E">
      <w:start w:val="3"/>
      <w:numFmt w:val="lowerLetter"/>
      <w:lvlText w:val="%1)"/>
      <w:lvlJc w:val="left"/>
      <w:pPr>
        <w:ind w:left="574" w:hanging="360"/>
      </w:pPr>
      <w:rPr>
        <w:rFonts w:hint="default"/>
      </w:rPr>
    </w:lvl>
    <w:lvl w:ilvl="1" w:tplc="04050019" w:tentative="1">
      <w:start w:val="1"/>
      <w:numFmt w:val="lowerLetter"/>
      <w:lvlText w:val="%2."/>
      <w:lvlJc w:val="left"/>
      <w:pPr>
        <w:ind w:left="1294" w:hanging="360"/>
      </w:pPr>
    </w:lvl>
    <w:lvl w:ilvl="2" w:tplc="0405001B" w:tentative="1">
      <w:start w:val="1"/>
      <w:numFmt w:val="lowerRoman"/>
      <w:lvlText w:val="%3."/>
      <w:lvlJc w:val="right"/>
      <w:pPr>
        <w:ind w:left="2014" w:hanging="180"/>
      </w:pPr>
    </w:lvl>
    <w:lvl w:ilvl="3" w:tplc="0405000F" w:tentative="1">
      <w:start w:val="1"/>
      <w:numFmt w:val="decimal"/>
      <w:lvlText w:val="%4."/>
      <w:lvlJc w:val="left"/>
      <w:pPr>
        <w:ind w:left="2734" w:hanging="360"/>
      </w:pPr>
    </w:lvl>
    <w:lvl w:ilvl="4" w:tplc="04050019" w:tentative="1">
      <w:start w:val="1"/>
      <w:numFmt w:val="lowerLetter"/>
      <w:lvlText w:val="%5."/>
      <w:lvlJc w:val="left"/>
      <w:pPr>
        <w:ind w:left="3454" w:hanging="360"/>
      </w:pPr>
    </w:lvl>
    <w:lvl w:ilvl="5" w:tplc="0405001B" w:tentative="1">
      <w:start w:val="1"/>
      <w:numFmt w:val="lowerRoman"/>
      <w:lvlText w:val="%6."/>
      <w:lvlJc w:val="right"/>
      <w:pPr>
        <w:ind w:left="4174" w:hanging="180"/>
      </w:pPr>
    </w:lvl>
    <w:lvl w:ilvl="6" w:tplc="0405000F" w:tentative="1">
      <w:start w:val="1"/>
      <w:numFmt w:val="decimal"/>
      <w:lvlText w:val="%7."/>
      <w:lvlJc w:val="left"/>
      <w:pPr>
        <w:ind w:left="4894" w:hanging="360"/>
      </w:pPr>
    </w:lvl>
    <w:lvl w:ilvl="7" w:tplc="04050019" w:tentative="1">
      <w:start w:val="1"/>
      <w:numFmt w:val="lowerLetter"/>
      <w:lvlText w:val="%8."/>
      <w:lvlJc w:val="left"/>
      <w:pPr>
        <w:ind w:left="5614" w:hanging="360"/>
      </w:pPr>
    </w:lvl>
    <w:lvl w:ilvl="8" w:tplc="0405001B" w:tentative="1">
      <w:start w:val="1"/>
      <w:numFmt w:val="lowerRoman"/>
      <w:lvlText w:val="%9."/>
      <w:lvlJc w:val="right"/>
      <w:pPr>
        <w:ind w:left="6334" w:hanging="180"/>
      </w:pPr>
    </w:lvl>
  </w:abstractNum>
  <w:abstractNum w:abstractNumId="7" w15:restartNumberingAfterBreak="0">
    <w:nsid w:val="14C737D2"/>
    <w:multiLevelType w:val="multilevel"/>
    <w:tmpl w:val="A44C8C7C"/>
    <w:lvl w:ilvl="0">
      <w:start w:val="9"/>
      <w:numFmt w:val="decimal"/>
      <w:lvlText w:val="%1."/>
      <w:lvlJc w:val="left"/>
      <w:pPr>
        <w:tabs>
          <w:tab w:val="num" w:pos="360"/>
        </w:tabs>
        <w:ind w:left="360" w:hanging="360"/>
      </w:pPr>
      <w:rPr>
        <w:rFonts w:hint="default"/>
      </w:rPr>
    </w:lvl>
    <w:lvl w:ilvl="1">
      <w:start w:val="1"/>
      <w:numFmt w:val="none"/>
      <w:lvlText w:val="10.2"/>
      <w:lvlJc w:val="left"/>
      <w:pPr>
        <w:tabs>
          <w:tab w:val="num" w:pos="180"/>
        </w:tabs>
        <w:ind w:left="1644" w:hanging="1824"/>
      </w:pPr>
      <w:rPr>
        <w:rFonts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8" w15:restartNumberingAfterBreak="0">
    <w:nsid w:val="1FBD41F1"/>
    <w:multiLevelType w:val="multilevel"/>
    <w:tmpl w:val="6FE400C8"/>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D40B3B"/>
    <w:multiLevelType w:val="hybridMultilevel"/>
    <w:tmpl w:val="33EC4382"/>
    <w:lvl w:ilvl="0" w:tplc="21F05E5A">
      <w:start w:val="5"/>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3726C60"/>
    <w:multiLevelType w:val="multilevel"/>
    <w:tmpl w:val="0B44A400"/>
    <w:lvl w:ilvl="0">
      <w:start w:val="9"/>
      <w:numFmt w:val="decimal"/>
      <w:lvlText w:val="%1."/>
      <w:lvlJc w:val="left"/>
      <w:pPr>
        <w:tabs>
          <w:tab w:val="num" w:pos="360"/>
        </w:tabs>
        <w:ind w:left="360" w:hanging="360"/>
      </w:pPr>
      <w:rPr>
        <w:rFonts w:hint="default"/>
      </w:rPr>
    </w:lvl>
    <w:lvl w:ilvl="1">
      <w:start w:val="1"/>
      <w:numFmt w:val="none"/>
      <w:lvlText w:val="10.1"/>
      <w:lvlJc w:val="left"/>
      <w:pPr>
        <w:tabs>
          <w:tab w:val="num" w:pos="180"/>
        </w:tabs>
        <w:ind w:left="1644" w:hanging="1824"/>
      </w:pPr>
      <w:rPr>
        <w:rFonts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1" w15:restartNumberingAfterBreak="0">
    <w:nsid w:val="33A501AB"/>
    <w:multiLevelType w:val="hybridMultilevel"/>
    <w:tmpl w:val="BF4650DA"/>
    <w:lvl w:ilvl="0" w:tplc="5850798C">
      <w:start w:val="1"/>
      <w:numFmt w:val="decimal"/>
      <w:lvlText w:val="%1."/>
      <w:lvlJc w:val="left"/>
      <w:pPr>
        <w:ind w:left="360" w:hanging="360"/>
      </w:pPr>
      <w:rPr>
        <w:rFonts w:hint="default"/>
      </w:rPr>
    </w:lvl>
    <w:lvl w:ilvl="1" w:tplc="455AE3C6">
      <w:start w:val="1"/>
      <w:numFmt w:val="lowerLetter"/>
      <w:lvlText w:val="%2."/>
      <w:lvlJc w:val="left"/>
      <w:pPr>
        <w:ind w:left="1353"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72A7DC2"/>
    <w:multiLevelType w:val="hybridMultilevel"/>
    <w:tmpl w:val="1A2448D2"/>
    <w:lvl w:ilvl="0" w:tplc="0405000F">
      <w:start w:val="1"/>
      <w:numFmt w:val="decimal"/>
      <w:lvlText w:val="%1."/>
      <w:lvlJc w:val="left"/>
      <w:pPr>
        <w:ind w:left="3337" w:hanging="360"/>
      </w:pPr>
    </w:lvl>
    <w:lvl w:ilvl="1" w:tplc="04050019" w:tentative="1">
      <w:start w:val="1"/>
      <w:numFmt w:val="lowerLetter"/>
      <w:lvlText w:val="%2."/>
      <w:lvlJc w:val="left"/>
      <w:pPr>
        <w:ind w:left="4057" w:hanging="360"/>
      </w:pPr>
    </w:lvl>
    <w:lvl w:ilvl="2" w:tplc="0405001B" w:tentative="1">
      <w:start w:val="1"/>
      <w:numFmt w:val="lowerRoman"/>
      <w:lvlText w:val="%3."/>
      <w:lvlJc w:val="right"/>
      <w:pPr>
        <w:ind w:left="4777" w:hanging="180"/>
      </w:pPr>
    </w:lvl>
    <w:lvl w:ilvl="3" w:tplc="0405000F" w:tentative="1">
      <w:start w:val="1"/>
      <w:numFmt w:val="decimal"/>
      <w:lvlText w:val="%4."/>
      <w:lvlJc w:val="left"/>
      <w:pPr>
        <w:ind w:left="5497" w:hanging="360"/>
      </w:pPr>
    </w:lvl>
    <w:lvl w:ilvl="4" w:tplc="04050019" w:tentative="1">
      <w:start w:val="1"/>
      <w:numFmt w:val="lowerLetter"/>
      <w:lvlText w:val="%5."/>
      <w:lvlJc w:val="left"/>
      <w:pPr>
        <w:ind w:left="6217" w:hanging="360"/>
      </w:pPr>
    </w:lvl>
    <w:lvl w:ilvl="5" w:tplc="0405001B" w:tentative="1">
      <w:start w:val="1"/>
      <w:numFmt w:val="lowerRoman"/>
      <w:lvlText w:val="%6."/>
      <w:lvlJc w:val="right"/>
      <w:pPr>
        <w:ind w:left="6937" w:hanging="180"/>
      </w:pPr>
    </w:lvl>
    <w:lvl w:ilvl="6" w:tplc="0405000F" w:tentative="1">
      <w:start w:val="1"/>
      <w:numFmt w:val="decimal"/>
      <w:lvlText w:val="%7."/>
      <w:lvlJc w:val="left"/>
      <w:pPr>
        <w:ind w:left="7657" w:hanging="360"/>
      </w:pPr>
    </w:lvl>
    <w:lvl w:ilvl="7" w:tplc="04050019" w:tentative="1">
      <w:start w:val="1"/>
      <w:numFmt w:val="lowerLetter"/>
      <w:lvlText w:val="%8."/>
      <w:lvlJc w:val="left"/>
      <w:pPr>
        <w:ind w:left="8377" w:hanging="360"/>
      </w:pPr>
    </w:lvl>
    <w:lvl w:ilvl="8" w:tplc="0405001B" w:tentative="1">
      <w:start w:val="1"/>
      <w:numFmt w:val="lowerRoman"/>
      <w:lvlText w:val="%9."/>
      <w:lvlJc w:val="right"/>
      <w:pPr>
        <w:ind w:left="9097" w:hanging="180"/>
      </w:pPr>
    </w:lvl>
  </w:abstractNum>
  <w:abstractNum w:abstractNumId="13" w15:restartNumberingAfterBreak="0">
    <w:nsid w:val="39280121"/>
    <w:multiLevelType w:val="hybridMultilevel"/>
    <w:tmpl w:val="058AD268"/>
    <w:lvl w:ilvl="0" w:tplc="758E357A">
      <w:start w:val="1"/>
      <w:numFmt w:val="bullet"/>
      <w:lvlText w:val="-"/>
      <w:lvlJc w:val="left"/>
      <w:pPr>
        <w:ind w:left="700" w:hanging="360"/>
      </w:pPr>
      <w:rPr>
        <w:rFonts w:ascii="Times New Roman" w:eastAsia="Times New Roman" w:hAnsi="Times New Roman"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4" w15:restartNumberingAfterBreak="0">
    <w:nsid w:val="3BE74C37"/>
    <w:multiLevelType w:val="multilevel"/>
    <w:tmpl w:val="31144D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645CE"/>
    <w:multiLevelType w:val="hybridMultilevel"/>
    <w:tmpl w:val="C8AAC922"/>
    <w:lvl w:ilvl="0" w:tplc="B1409B14">
      <w:start w:val="1"/>
      <w:numFmt w:val="lowerLetter"/>
      <w:lvlText w:val="%1)"/>
      <w:lvlJc w:val="left"/>
      <w:pPr>
        <w:ind w:left="574" w:hanging="360"/>
      </w:pPr>
      <w:rPr>
        <w:rFonts w:hint="default"/>
        <w:b/>
      </w:rPr>
    </w:lvl>
    <w:lvl w:ilvl="1" w:tplc="04050019" w:tentative="1">
      <w:start w:val="1"/>
      <w:numFmt w:val="lowerLetter"/>
      <w:lvlText w:val="%2."/>
      <w:lvlJc w:val="left"/>
      <w:pPr>
        <w:ind w:left="1294" w:hanging="360"/>
      </w:pPr>
    </w:lvl>
    <w:lvl w:ilvl="2" w:tplc="0405001B" w:tentative="1">
      <w:start w:val="1"/>
      <w:numFmt w:val="lowerRoman"/>
      <w:lvlText w:val="%3."/>
      <w:lvlJc w:val="right"/>
      <w:pPr>
        <w:ind w:left="2014" w:hanging="180"/>
      </w:pPr>
    </w:lvl>
    <w:lvl w:ilvl="3" w:tplc="0405000F" w:tentative="1">
      <w:start w:val="1"/>
      <w:numFmt w:val="decimal"/>
      <w:lvlText w:val="%4."/>
      <w:lvlJc w:val="left"/>
      <w:pPr>
        <w:ind w:left="2734" w:hanging="360"/>
      </w:pPr>
    </w:lvl>
    <w:lvl w:ilvl="4" w:tplc="04050019" w:tentative="1">
      <w:start w:val="1"/>
      <w:numFmt w:val="lowerLetter"/>
      <w:lvlText w:val="%5."/>
      <w:lvlJc w:val="left"/>
      <w:pPr>
        <w:ind w:left="3454" w:hanging="360"/>
      </w:pPr>
    </w:lvl>
    <w:lvl w:ilvl="5" w:tplc="0405001B" w:tentative="1">
      <w:start w:val="1"/>
      <w:numFmt w:val="lowerRoman"/>
      <w:lvlText w:val="%6."/>
      <w:lvlJc w:val="right"/>
      <w:pPr>
        <w:ind w:left="4174" w:hanging="180"/>
      </w:pPr>
    </w:lvl>
    <w:lvl w:ilvl="6" w:tplc="0405000F" w:tentative="1">
      <w:start w:val="1"/>
      <w:numFmt w:val="decimal"/>
      <w:lvlText w:val="%7."/>
      <w:lvlJc w:val="left"/>
      <w:pPr>
        <w:ind w:left="4894" w:hanging="360"/>
      </w:pPr>
    </w:lvl>
    <w:lvl w:ilvl="7" w:tplc="04050019" w:tentative="1">
      <w:start w:val="1"/>
      <w:numFmt w:val="lowerLetter"/>
      <w:lvlText w:val="%8."/>
      <w:lvlJc w:val="left"/>
      <w:pPr>
        <w:ind w:left="5614" w:hanging="360"/>
      </w:pPr>
    </w:lvl>
    <w:lvl w:ilvl="8" w:tplc="0405001B" w:tentative="1">
      <w:start w:val="1"/>
      <w:numFmt w:val="lowerRoman"/>
      <w:lvlText w:val="%9."/>
      <w:lvlJc w:val="right"/>
      <w:pPr>
        <w:ind w:left="6334" w:hanging="180"/>
      </w:pPr>
    </w:lvl>
  </w:abstractNum>
  <w:abstractNum w:abstractNumId="16" w15:restartNumberingAfterBreak="0">
    <w:nsid w:val="454539A3"/>
    <w:multiLevelType w:val="hybridMultilevel"/>
    <w:tmpl w:val="80800BF6"/>
    <w:lvl w:ilvl="0" w:tplc="1A00D296">
      <w:start w:val="14"/>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54AE595E"/>
    <w:multiLevelType w:val="hybridMultilevel"/>
    <w:tmpl w:val="70BEA56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63A73801"/>
    <w:multiLevelType w:val="hybridMultilevel"/>
    <w:tmpl w:val="8DF69E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9"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0" w15:restartNumberingAfterBreak="0">
    <w:nsid w:val="6875250B"/>
    <w:multiLevelType w:val="hybridMultilevel"/>
    <w:tmpl w:val="97E830EA"/>
    <w:lvl w:ilvl="0" w:tplc="D73CB8B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F32711"/>
    <w:multiLevelType w:val="multilevel"/>
    <w:tmpl w:val="2348E450"/>
    <w:lvl w:ilvl="0">
      <w:start w:val="9"/>
      <w:numFmt w:val="decimal"/>
      <w:lvlText w:val="%1."/>
      <w:lvlJc w:val="left"/>
      <w:pPr>
        <w:tabs>
          <w:tab w:val="num" w:pos="360"/>
        </w:tabs>
        <w:ind w:left="360" w:hanging="360"/>
      </w:pPr>
      <w:rPr>
        <w:rFonts w:hint="default"/>
      </w:rPr>
    </w:lvl>
    <w:lvl w:ilvl="1">
      <w:start w:val="1"/>
      <w:numFmt w:val="none"/>
      <w:lvlText w:val="10.4"/>
      <w:lvlJc w:val="left"/>
      <w:pPr>
        <w:tabs>
          <w:tab w:val="num" w:pos="180"/>
        </w:tabs>
        <w:ind w:left="1644" w:hanging="1824"/>
      </w:pPr>
      <w:rPr>
        <w:rFonts w:hint="default"/>
        <w:b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2" w15:restartNumberingAfterBreak="0">
    <w:nsid w:val="73B1160A"/>
    <w:multiLevelType w:val="multilevel"/>
    <w:tmpl w:val="F7702CC0"/>
    <w:lvl w:ilvl="0">
      <w:start w:val="1"/>
      <w:numFmt w:val="decimal"/>
      <w:lvlText w:val="8.%1"/>
      <w:lvlJc w:val="left"/>
      <w:pPr>
        <w:ind w:left="705" w:hanging="705"/>
      </w:pPr>
      <w:rPr>
        <w:rFonts w:ascii="Arial" w:hAnsi="Arial" w:cs="Arial" w:hint="default"/>
      </w:rPr>
    </w:lvl>
    <w:lvl w:ilvl="1">
      <w:start w:val="1"/>
      <w:numFmt w:val="decimal"/>
      <w:lvlText w:val="4.%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50E6C2B"/>
    <w:multiLevelType w:val="hybridMultilevel"/>
    <w:tmpl w:val="E44263E2"/>
    <w:lvl w:ilvl="0" w:tplc="38441A26">
      <w:start w:val="1"/>
      <w:numFmt w:val="decimal"/>
      <w:lvlText w:val="%1."/>
      <w:lvlJc w:val="left"/>
      <w:pPr>
        <w:ind w:left="6234" w:hanging="705"/>
      </w:pPr>
      <w:rPr>
        <w:rFonts w:ascii="Arial" w:hAnsi="Arial" w:cs="Arial" w:hint="default"/>
        <w:b w:val="0"/>
        <w:color w:val="auto"/>
      </w:rPr>
    </w:lvl>
    <w:lvl w:ilvl="1" w:tplc="04050019">
      <w:start w:val="1"/>
      <w:numFmt w:val="lowerLetter"/>
      <w:lvlText w:val="%2."/>
      <w:lvlJc w:val="left"/>
      <w:pPr>
        <w:ind w:left="5693" w:hanging="360"/>
      </w:pPr>
    </w:lvl>
    <w:lvl w:ilvl="2" w:tplc="0405001B" w:tentative="1">
      <w:start w:val="1"/>
      <w:numFmt w:val="lowerRoman"/>
      <w:lvlText w:val="%3."/>
      <w:lvlJc w:val="right"/>
      <w:pPr>
        <w:ind w:left="6413" w:hanging="180"/>
      </w:pPr>
    </w:lvl>
    <w:lvl w:ilvl="3" w:tplc="0405000F" w:tentative="1">
      <w:start w:val="1"/>
      <w:numFmt w:val="decimal"/>
      <w:lvlText w:val="%4."/>
      <w:lvlJc w:val="left"/>
      <w:pPr>
        <w:ind w:left="7133" w:hanging="360"/>
      </w:pPr>
    </w:lvl>
    <w:lvl w:ilvl="4" w:tplc="04050019" w:tentative="1">
      <w:start w:val="1"/>
      <w:numFmt w:val="lowerLetter"/>
      <w:lvlText w:val="%5."/>
      <w:lvlJc w:val="left"/>
      <w:pPr>
        <w:ind w:left="7853" w:hanging="360"/>
      </w:pPr>
    </w:lvl>
    <w:lvl w:ilvl="5" w:tplc="0405001B" w:tentative="1">
      <w:start w:val="1"/>
      <w:numFmt w:val="lowerRoman"/>
      <w:lvlText w:val="%6."/>
      <w:lvlJc w:val="right"/>
      <w:pPr>
        <w:ind w:left="8573" w:hanging="180"/>
      </w:pPr>
    </w:lvl>
    <w:lvl w:ilvl="6" w:tplc="0405000F" w:tentative="1">
      <w:start w:val="1"/>
      <w:numFmt w:val="decimal"/>
      <w:lvlText w:val="%7."/>
      <w:lvlJc w:val="left"/>
      <w:pPr>
        <w:ind w:left="9293" w:hanging="360"/>
      </w:pPr>
    </w:lvl>
    <w:lvl w:ilvl="7" w:tplc="04050019" w:tentative="1">
      <w:start w:val="1"/>
      <w:numFmt w:val="lowerLetter"/>
      <w:lvlText w:val="%8."/>
      <w:lvlJc w:val="left"/>
      <w:pPr>
        <w:ind w:left="10013" w:hanging="360"/>
      </w:pPr>
    </w:lvl>
    <w:lvl w:ilvl="8" w:tplc="0405001B" w:tentative="1">
      <w:start w:val="1"/>
      <w:numFmt w:val="lowerRoman"/>
      <w:lvlText w:val="%9."/>
      <w:lvlJc w:val="right"/>
      <w:pPr>
        <w:ind w:left="10733" w:hanging="180"/>
      </w:pPr>
    </w:lvl>
  </w:abstractNum>
  <w:abstractNum w:abstractNumId="24" w15:restartNumberingAfterBreak="0">
    <w:nsid w:val="777516D4"/>
    <w:multiLevelType w:val="multilevel"/>
    <w:tmpl w:val="828A81D2"/>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7E7E8F"/>
    <w:multiLevelType w:val="hybridMultilevel"/>
    <w:tmpl w:val="057E02B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6" w15:restartNumberingAfterBreak="0">
    <w:nsid w:val="79A743FD"/>
    <w:multiLevelType w:val="hybridMultilevel"/>
    <w:tmpl w:val="39B2C472"/>
    <w:lvl w:ilvl="0" w:tplc="D518A0A0">
      <w:start w:val="1"/>
      <w:numFmt w:val="lowerLetter"/>
      <w:lvlText w:val="%1)"/>
      <w:lvlJc w:val="left"/>
      <w:pPr>
        <w:ind w:left="700" w:hanging="360"/>
      </w:pPr>
      <w:rPr>
        <w:rFonts w:ascii="Arial" w:hAnsi="Arial" w:cs="Arial" w:hint="default"/>
        <w:b/>
        <w:sz w:val="22"/>
        <w:szCs w:val="22"/>
      </w:rPr>
    </w:lvl>
    <w:lvl w:ilvl="1" w:tplc="04050019">
      <w:start w:val="1"/>
      <w:numFmt w:val="lowerLetter"/>
      <w:lvlText w:val="%2."/>
      <w:lvlJc w:val="left"/>
      <w:pPr>
        <w:ind w:left="1420" w:hanging="360"/>
      </w:pPr>
    </w:lvl>
    <w:lvl w:ilvl="2" w:tplc="0405001B">
      <w:start w:val="1"/>
      <w:numFmt w:val="lowerRoman"/>
      <w:lvlText w:val="%3."/>
      <w:lvlJc w:val="right"/>
      <w:pPr>
        <w:ind w:left="2140" w:hanging="180"/>
      </w:pPr>
    </w:lvl>
    <w:lvl w:ilvl="3" w:tplc="0405000F">
      <w:start w:val="1"/>
      <w:numFmt w:val="decimal"/>
      <w:lvlText w:val="%4."/>
      <w:lvlJc w:val="left"/>
      <w:pPr>
        <w:ind w:left="2860" w:hanging="360"/>
      </w:pPr>
    </w:lvl>
    <w:lvl w:ilvl="4" w:tplc="04050019">
      <w:start w:val="1"/>
      <w:numFmt w:val="lowerLetter"/>
      <w:lvlText w:val="%5."/>
      <w:lvlJc w:val="left"/>
      <w:pPr>
        <w:ind w:left="3580" w:hanging="360"/>
      </w:pPr>
    </w:lvl>
    <w:lvl w:ilvl="5" w:tplc="0405001B">
      <w:start w:val="1"/>
      <w:numFmt w:val="lowerRoman"/>
      <w:lvlText w:val="%6."/>
      <w:lvlJc w:val="right"/>
      <w:pPr>
        <w:ind w:left="4300" w:hanging="180"/>
      </w:pPr>
    </w:lvl>
    <w:lvl w:ilvl="6" w:tplc="0405000F">
      <w:start w:val="1"/>
      <w:numFmt w:val="decimal"/>
      <w:lvlText w:val="%7."/>
      <w:lvlJc w:val="left"/>
      <w:pPr>
        <w:ind w:left="5020" w:hanging="360"/>
      </w:pPr>
    </w:lvl>
    <w:lvl w:ilvl="7" w:tplc="04050019">
      <w:start w:val="1"/>
      <w:numFmt w:val="lowerLetter"/>
      <w:lvlText w:val="%8."/>
      <w:lvlJc w:val="left"/>
      <w:pPr>
        <w:ind w:left="5740" w:hanging="360"/>
      </w:pPr>
    </w:lvl>
    <w:lvl w:ilvl="8" w:tplc="0405001B">
      <w:start w:val="1"/>
      <w:numFmt w:val="lowerRoman"/>
      <w:lvlText w:val="%9."/>
      <w:lvlJc w:val="right"/>
      <w:pPr>
        <w:ind w:left="6460" w:hanging="180"/>
      </w:pPr>
    </w:lvl>
  </w:abstractNum>
  <w:abstractNum w:abstractNumId="27" w15:restartNumberingAfterBreak="0">
    <w:nsid w:val="7ECE703A"/>
    <w:multiLevelType w:val="hybridMultilevel"/>
    <w:tmpl w:val="EDFA551E"/>
    <w:lvl w:ilvl="0" w:tplc="3FB09C70">
      <w:start w:val="1"/>
      <w:numFmt w:val="bullet"/>
      <w:lvlText w:val="-"/>
      <w:lvlJc w:val="left"/>
      <w:pPr>
        <w:ind w:left="1080" w:hanging="360"/>
      </w:pPr>
      <w:rPr>
        <w:rFonts w:ascii="Arial Narrow" w:eastAsia="Times New Roman"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18"/>
  </w:num>
  <w:num w:numId="4">
    <w:abstractNumId w:val="25"/>
  </w:num>
  <w:num w:numId="5">
    <w:abstractNumId w:val="15"/>
  </w:num>
  <w:num w:numId="6">
    <w:abstractNumId w:val="0"/>
  </w:num>
  <w:num w:numId="7">
    <w:abstractNumId w:val="2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7"/>
  </w:num>
  <w:num w:numId="12">
    <w:abstractNumId w:val="3"/>
  </w:num>
  <w:num w:numId="13">
    <w:abstractNumId w:val="21"/>
  </w:num>
  <w:num w:numId="14">
    <w:abstractNumId w:val="6"/>
  </w:num>
  <w:num w:numId="15">
    <w:abstractNumId w:val="16"/>
  </w:num>
  <w:num w:numId="16">
    <w:abstractNumId w:val="1"/>
    <w:lvlOverride w:ilvl="0">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14"/>
  </w:num>
  <w:num w:numId="21">
    <w:abstractNumId w:val="4"/>
  </w:num>
  <w:num w:numId="22">
    <w:abstractNumId w:val="12"/>
  </w:num>
  <w:num w:numId="23">
    <w:abstractNumId w:val="27"/>
  </w:num>
  <w:num w:numId="24">
    <w:abstractNumId w:val="9"/>
  </w:num>
  <w:num w:numId="25">
    <w:abstractNumId w:val="23"/>
  </w:num>
  <w:num w:numId="26">
    <w:abstractNumId w:val="2"/>
  </w:num>
  <w:num w:numId="27">
    <w:abstractNumId w:val="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17"/>
    <w:rsid w:val="000009C5"/>
    <w:rsid w:val="00002DBD"/>
    <w:rsid w:val="00002F11"/>
    <w:rsid w:val="00007EA8"/>
    <w:rsid w:val="00016D5C"/>
    <w:rsid w:val="00021FB3"/>
    <w:rsid w:val="00023609"/>
    <w:rsid w:val="0002397A"/>
    <w:rsid w:val="00024A33"/>
    <w:rsid w:val="00033D39"/>
    <w:rsid w:val="000359E6"/>
    <w:rsid w:val="00041066"/>
    <w:rsid w:val="00043258"/>
    <w:rsid w:val="000438E0"/>
    <w:rsid w:val="00052961"/>
    <w:rsid w:val="000613FC"/>
    <w:rsid w:val="00062056"/>
    <w:rsid w:val="000676D5"/>
    <w:rsid w:val="000737E9"/>
    <w:rsid w:val="000771BB"/>
    <w:rsid w:val="000803F8"/>
    <w:rsid w:val="00081AF7"/>
    <w:rsid w:val="00090C4D"/>
    <w:rsid w:val="0009452B"/>
    <w:rsid w:val="000A2D6E"/>
    <w:rsid w:val="000A4989"/>
    <w:rsid w:val="000B4A86"/>
    <w:rsid w:val="000B7616"/>
    <w:rsid w:val="000B7E42"/>
    <w:rsid w:val="000C156F"/>
    <w:rsid w:val="000C3741"/>
    <w:rsid w:val="000C52D4"/>
    <w:rsid w:val="000D2F85"/>
    <w:rsid w:val="000D374D"/>
    <w:rsid w:val="000D487B"/>
    <w:rsid w:val="000D4EB9"/>
    <w:rsid w:val="000D694A"/>
    <w:rsid w:val="000F599E"/>
    <w:rsid w:val="00107B73"/>
    <w:rsid w:val="00112271"/>
    <w:rsid w:val="0011300B"/>
    <w:rsid w:val="00113321"/>
    <w:rsid w:val="001150E2"/>
    <w:rsid w:val="00120EFC"/>
    <w:rsid w:val="00121848"/>
    <w:rsid w:val="00136317"/>
    <w:rsid w:val="00141072"/>
    <w:rsid w:val="001413A4"/>
    <w:rsid w:val="00147B35"/>
    <w:rsid w:val="001522FB"/>
    <w:rsid w:val="001617A9"/>
    <w:rsid w:val="00161F21"/>
    <w:rsid w:val="00170FAB"/>
    <w:rsid w:val="00171DB9"/>
    <w:rsid w:val="00176117"/>
    <w:rsid w:val="00185736"/>
    <w:rsid w:val="0018794F"/>
    <w:rsid w:val="00191B70"/>
    <w:rsid w:val="001A727E"/>
    <w:rsid w:val="001B61F0"/>
    <w:rsid w:val="001B7B8A"/>
    <w:rsid w:val="001D2DD2"/>
    <w:rsid w:val="001D7544"/>
    <w:rsid w:val="00201DBA"/>
    <w:rsid w:val="002044D6"/>
    <w:rsid w:val="00213FDA"/>
    <w:rsid w:val="00221D71"/>
    <w:rsid w:val="00236572"/>
    <w:rsid w:val="002369F0"/>
    <w:rsid w:val="00236E4A"/>
    <w:rsid w:val="002457D5"/>
    <w:rsid w:val="00250D35"/>
    <w:rsid w:val="00262696"/>
    <w:rsid w:val="00262FDA"/>
    <w:rsid w:val="002651D2"/>
    <w:rsid w:val="00267F05"/>
    <w:rsid w:val="00270A0A"/>
    <w:rsid w:val="00271900"/>
    <w:rsid w:val="00272EE2"/>
    <w:rsid w:val="00273447"/>
    <w:rsid w:val="00281001"/>
    <w:rsid w:val="0028103B"/>
    <w:rsid w:val="00286064"/>
    <w:rsid w:val="0029607B"/>
    <w:rsid w:val="00297307"/>
    <w:rsid w:val="002A1D67"/>
    <w:rsid w:val="002A29C1"/>
    <w:rsid w:val="002A3B47"/>
    <w:rsid w:val="002A3CA2"/>
    <w:rsid w:val="002A47F5"/>
    <w:rsid w:val="002B1C09"/>
    <w:rsid w:val="002B704A"/>
    <w:rsid w:val="002C06F4"/>
    <w:rsid w:val="002D071D"/>
    <w:rsid w:val="002D76D9"/>
    <w:rsid w:val="002E20EE"/>
    <w:rsid w:val="002E7A9C"/>
    <w:rsid w:val="00306B5A"/>
    <w:rsid w:val="00306F80"/>
    <w:rsid w:val="00317988"/>
    <w:rsid w:val="00320AC4"/>
    <w:rsid w:val="00322A9E"/>
    <w:rsid w:val="00322FCC"/>
    <w:rsid w:val="00326409"/>
    <w:rsid w:val="00326F2D"/>
    <w:rsid w:val="00330331"/>
    <w:rsid w:val="00334DB0"/>
    <w:rsid w:val="00344375"/>
    <w:rsid w:val="00346060"/>
    <w:rsid w:val="00354079"/>
    <w:rsid w:val="00356EB6"/>
    <w:rsid w:val="00370868"/>
    <w:rsid w:val="00381D84"/>
    <w:rsid w:val="00381F0B"/>
    <w:rsid w:val="00391356"/>
    <w:rsid w:val="0039215C"/>
    <w:rsid w:val="003972C1"/>
    <w:rsid w:val="003973A9"/>
    <w:rsid w:val="003B0A79"/>
    <w:rsid w:val="003B1A02"/>
    <w:rsid w:val="003B59C0"/>
    <w:rsid w:val="003C15F0"/>
    <w:rsid w:val="003C47BA"/>
    <w:rsid w:val="003C5796"/>
    <w:rsid w:val="003D6C4F"/>
    <w:rsid w:val="003E1840"/>
    <w:rsid w:val="003E2838"/>
    <w:rsid w:val="003E5A88"/>
    <w:rsid w:val="003F475E"/>
    <w:rsid w:val="003F5F5C"/>
    <w:rsid w:val="003F69BF"/>
    <w:rsid w:val="00402ABA"/>
    <w:rsid w:val="00405E2E"/>
    <w:rsid w:val="004174F6"/>
    <w:rsid w:val="004230F5"/>
    <w:rsid w:val="00424CF9"/>
    <w:rsid w:val="00434B0A"/>
    <w:rsid w:val="004446E5"/>
    <w:rsid w:val="00447B6F"/>
    <w:rsid w:val="0046639F"/>
    <w:rsid w:val="004730B1"/>
    <w:rsid w:val="0047398D"/>
    <w:rsid w:val="00476A3C"/>
    <w:rsid w:val="00480171"/>
    <w:rsid w:val="00484787"/>
    <w:rsid w:val="00485F8A"/>
    <w:rsid w:val="00496AC2"/>
    <w:rsid w:val="004A2863"/>
    <w:rsid w:val="004B2CBF"/>
    <w:rsid w:val="004D2C56"/>
    <w:rsid w:val="004D67E6"/>
    <w:rsid w:val="004D6A97"/>
    <w:rsid w:val="004D77E0"/>
    <w:rsid w:val="004E4D51"/>
    <w:rsid w:val="004F22EB"/>
    <w:rsid w:val="00516455"/>
    <w:rsid w:val="00517EAF"/>
    <w:rsid w:val="00533C9E"/>
    <w:rsid w:val="00534FA9"/>
    <w:rsid w:val="0054049E"/>
    <w:rsid w:val="0055238D"/>
    <w:rsid w:val="00554284"/>
    <w:rsid w:val="00554BBE"/>
    <w:rsid w:val="00560EF2"/>
    <w:rsid w:val="005619B6"/>
    <w:rsid w:val="00563736"/>
    <w:rsid w:val="00564330"/>
    <w:rsid w:val="00567006"/>
    <w:rsid w:val="005723A8"/>
    <w:rsid w:val="005728B1"/>
    <w:rsid w:val="005744ED"/>
    <w:rsid w:val="00574B72"/>
    <w:rsid w:val="00575D50"/>
    <w:rsid w:val="0057696E"/>
    <w:rsid w:val="00583BB8"/>
    <w:rsid w:val="00596352"/>
    <w:rsid w:val="00596B4A"/>
    <w:rsid w:val="005A26E9"/>
    <w:rsid w:val="005A2832"/>
    <w:rsid w:val="005A4742"/>
    <w:rsid w:val="005A6CB1"/>
    <w:rsid w:val="005B2A3F"/>
    <w:rsid w:val="005B3A88"/>
    <w:rsid w:val="005B7BED"/>
    <w:rsid w:val="005C62EC"/>
    <w:rsid w:val="005C7FB3"/>
    <w:rsid w:val="005D102C"/>
    <w:rsid w:val="005E216B"/>
    <w:rsid w:val="0060176D"/>
    <w:rsid w:val="006018F6"/>
    <w:rsid w:val="00601D46"/>
    <w:rsid w:val="00603D5A"/>
    <w:rsid w:val="006065B5"/>
    <w:rsid w:val="0061745E"/>
    <w:rsid w:val="00623113"/>
    <w:rsid w:val="00647135"/>
    <w:rsid w:val="00650ED1"/>
    <w:rsid w:val="006574F7"/>
    <w:rsid w:val="00677DD7"/>
    <w:rsid w:val="00680136"/>
    <w:rsid w:val="00687C7D"/>
    <w:rsid w:val="006910FA"/>
    <w:rsid w:val="006A53F1"/>
    <w:rsid w:val="006A7470"/>
    <w:rsid w:val="006A7F96"/>
    <w:rsid w:val="006B6BCE"/>
    <w:rsid w:val="006C197D"/>
    <w:rsid w:val="006C2AB3"/>
    <w:rsid w:val="006D3F8C"/>
    <w:rsid w:val="006D6C23"/>
    <w:rsid w:val="006E2CC5"/>
    <w:rsid w:val="006E54E8"/>
    <w:rsid w:val="006F16BB"/>
    <w:rsid w:val="006F7AD9"/>
    <w:rsid w:val="0071004C"/>
    <w:rsid w:val="00710C4A"/>
    <w:rsid w:val="007208EA"/>
    <w:rsid w:val="0072161D"/>
    <w:rsid w:val="0072330E"/>
    <w:rsid w:val="00725F24"/>
    <w:rsid w:val="00731FA7"/>
    <w:rsid w:val="00733C38"/>
    <w:rsid w:val="00740563"/>
    <w:rsid w:val="00757DAE"/>
    <w:rsid w:val="007646EA"/>
    <w:rsid w:val="007825C0"/>
    <w:rsid w:val="007A0F53"/>
    <w:rsid w:val="007B222C"/>
    <w:rsid w:val="007B34C7"/>
    <w:rsid w:val="007B3747"/>
    <w:rsid w:val="007B5163"/>
    <w:rsid w:val="007D216B"/>
    <w:rsid w:val="007D4DA3"/>
    <w:rsid w:val="007E29C8"/>
    <w:rsid w:val="007E49B4"/>
    <w:rsid w:val="007E4AA9"/>
    <w:rsid w:val="007F4EEC"/>
    <w:rsid w:val="00803CCF"/>
    <w:rsid w:val="008130C5"/>
    <w:rsid w:val="00820F47"/>
    <w:rsid w:val="00823124"/>
    <w:rsid w:val="008253B3"/>
    <w:rsid w:val="00830B4D"/>
    <w:rsid w:val="00832EED"/>
    <w:rsid w:val="0083757D"/>
    <w:rsid w:val="00841E4A"/>
    <w:rsid w:val="00846792"/>
    <w:rsid w:val="00872EA1"/>
    <w:rsid w:val="00876B97"/>
    <w:rsid w:val="00880FA3"/>
    <w:rsid w:val="00884084"/>
    <w:rsid w:val="008870C0"/>
    <w:rsid w:val="008942CC"/>
    <w:rsid w:val="00897B7D"/>
    <w:rsid w:val="008B0814"/>
    <w:rsid w:val="008B1FD5"/>
    <w:rsid w:val="008B61AF"/>
    <w:rsid w:val="008C4059"/>
    <w:rsid w:val="008C7180"/>
    <w:rsid w:val="008D5E5E"/>
    <w:rsid w:val="008E0AA2"/>
    <w:rsid w:val="008E1510"/>
    <w:rsid w:val="008E7E81"/>
    <w:rsid w:val="008E7F5F"/>
    <w:rsid w:val="008F1713"/>
    <w:rsid w:val="008F2F2F"/>
    <w:rsid w:val="00913EFB"/>
    <w:rsid w:val="00917275"/>
    <w:rsid w:val="00920B07"/>
    <w:rsid w:val="009212D6"/>
    <w:rsid w:val="00922AB9"/>
    <w:rsid w:val="009249C5"/>
    <w:rsid w:val="00925F5E"/>
    <w:rsid w:val="00930175"/>
    <w:rsid w:val="009368EB"/>
    <w:rsid w:val="009404FE"/>
    <w:rsid w:val="00941EA1"/>
    <w:rsid w:val="0094267F"/>
    <w:rsid w:val="0094391C"/>
    <w:rsid w:val="009553BD"/>
    <w:rsid w:val="00956691"/>
    <w:rsid w:val="009717FC"/>
    <w:rsid w:val="0097198C"/>
    <w:rsid w:val="00971BB2"/>
    <w:rsid w:val="00972D7C"/>
    <w:rsid w:val="009845C5"/>
    <w:rsid w:val="00995A12"/>
    <w:rsid w:val="00995D0F"/>
    <w:rsid w:val="009A2366"/>
    <w:rsid w:val="009B70C5"/>
    <w:rsid w:val="009B778C"/>
    <w:rsid w:val="009D7417"/>
    <w:rsid w:val="009E32F8"/>
    <w:rsid w:val="009E4281"/>
    <w:rsid w:val="009E7417"/>
    <w:rsid w:val="009F44FB"/>
    <w:rsid w:val="009F58F2"/>
    <w:rsid w:val="00A053C1"/>
    <w:rsid w:val="00A15A05"/>
    <w:rsid w:val="00A1678F"/>
    <w:rsid w:val="00A175B5"/>
    <w:rsid w:val="00A23A3C"/>
    <w:rsid w:val="00A3143A"/>
    <w:rsid w:val="00A33908"/>
    <w:rsid w:val="00A35E59"/>
    <w:rsid w:val="00A36F24"/>
    <w:rsid w:val="00A4071B"/>
    <w:rsid w:val="00A40B72"/>
    <w:rsid w:val="00A42862"/>
    <w:rsid w:val="00A42CFE"/>
    <w:rsid w:val="00A44762"/>
    <w:rsid w:val="00A5275A"/>
    <w:rsid w:val="00A54002"/>
    <w:rsid w:val="00A557DB"/>
    <w:rsid w:val="00A55831"/>
    <w:rsid w:val="00A55B64"/>
    <w:rsid w:val="00A57E8C"/>
    <w:rsid w:val="00A605A6"/>
    <w:rsid w:val="00A6333F"/>
    <w:rsid w:val="00A649F4"/>
    <w:rsid w:val="00A74A53"/>
    <w:rsid w:val="00A770A9"/>
    <w:rsid w:val="00A8293C"/>
    <w:rsid w:val="00A84E7E"/>
    <w:rsid w:val="00A920D5"/>
    <w:rsid w:val="00A95B06"/>
    <w:rsid w:val="00AA1B50"/>
    <w:rsid w:val="00AA561B"/>
    <w:rsid w:val="00AB4CE4"/>
    <w:rsid w:val="00AC06D6"/>
    <w:rsid w:val="00AC2BED"/>
    <w:rsid w:val="00AC4B15"/>
    <w:rsid w:val="00AC6666"/>
    <w:rsid w:val="00AD0350"/>
    <w:rsid w:val="00AD0E0C"/>
    <w:rsid w:val="00AD6C40"/>
    <w:rsid w:val="00AE45B6"/>
    <w:rsid w:val="00AE5570"/>
    <w:rsid w:val="00B06B7C"/>
    <w:rsid w:val="00B129C6"/>
    <w:rsid w:val="00B131B4"/>
    <w:rsid w:val="00B14415"/>
    <w:rsid w:val="00B1655D"/>
    <w:rsid w:val="00B21D03"/>
    <w:rsid w:val="00B223BB"/>
    <w:rsid w:val="00B25972"/>
    <w:rsid w:val="00B31407"/>
    <w:rsid w:val="00B31A10"/>
    <w:rsid w:val="00B402BE"/>
    <w:rsid w:val="00B41012"/>
    <w:rsid w:val="00B43349"/>
    <w:rsid w:val="00B50ED4"/>
    <w:rsid w:val="00B52C79"/>
    <w:rsid w:val="00B557E8"/>
    <w:rsid w:val="00B570B3"/>
    <w:rsid w:val="00B57A21"/>
    <w:rsid w:val="00B60E9F"/>
    <w:rsid w:val="00B66801"/>
    <w:rsid w:val="00B74498"/>
    <w:rsid w:val="00B75A2C"/>
    <w:rsid w:val="00B806BB"/>
    <w:rsid w:val="00B8406D"/>
    <w:rsid w:val="00B85A4F"/>
    <w:rsid w:val="00B913A1"/>
    <w:rsid w:val="00BB0541"/>
    <w:rsid w:val="00BB4751"/>
    <w:rsid w:val="00BC6F06"/>
    <w:rsid w:val="00BD125F"/>
    <w:rsid w:val="00BE0636"/>
    <w:rsid w:val="00BF2557"/>
    <w:rsid w:val="00BF3790"/>
    <w:rsid w:val="00C0036C"/>
    <w:rsid w:val="00C01EF1"/>
    <w:rsid w:val="00C03C9B"/>
    <w:rsid w:val="00C05473"/>
    <w:rsid w:val="00C05505"/>
    <w:rsid w:val="00C1128B"/>
    <w:rsid w:val="00C15B41"/>
    <w:rsid w:val="00C15F6C"/>
    <w:rsid w:val="00C1667C"/>
    <w:rsid w:val="00C24A07"/>
    <w:rsid w:val="00C24D8F"/>
    <w:rsid w:val="00C32417"/>
    <w:rsid w:val="00C3500A"/>
    <w:rsid w:val="00C36B55"/>
    <w:rsid w:val="00C3760B"/>
    <w:rsid w:val="00C37E61"/>
    <w:rsid w:val="00C46228"/>
    <w:rsid w:val="00C47039"/>
    <w:rsid w:val="00C514BC"/>
    <w:rsid w:val="00C552EB"/>
    <w:rsid w:val="00C72EA7"/>
    <w:rsid w:val="00C75DEA"/>
    <w:rsid w:val="00C96074"/>
    <w:rsid w:val="00CA17E0"/>
    <w:rsid w:val="00CA1BC1"/>
    <w:rsid w:val="00CA363F"/>
    <w:rsid w:val="00CA7C04"/>
    <w:rsid w:val="00CB1E73"/>
    <w:rsid w:val="00CB297B"/>
    <w:rsid w:val="00CB6CDC"/>
    <w:rsid w:val="00CC4D36"/>
    <w:rsid w:val="00CD6BBF"/>
    <w:rsid w:val="00CD6FDD"/>
    <w:rsid w:val="00CE14B4"/>
    <w:rsid w:val="00CE3ABF"/>
    <w:rsid w:val="00CE5836"/>
    <w:rsid w:val="00CE645A"/>
    <w:rsid w:val="00CF0310"/>
    <w:rsid w:val="00CF3FE5"/>
    <w:rsid w:val="00CF711F"/>
    <w:rsid w:val="00D006C1"/>
    <w:rsid w:val="00D0143E"/>
    <w:rsid w:val="00D04F56"/>
    <w:rsid w:val="00D1390A"/>
    <w:rsid w:val="00D207D7"/>
    <w:rsid w:val="00D2262C"/>
    <w:rsid w:val="00D24151"/>
    <w:rsid w:val="00D268F9"/>
    <w:rsid w:val="00D37D2B"/>
    <w:rsid w:val="00D410D3"/>
    <w:rsid w:val="00D467DE"/>
    <w:rsid w:val="00D64FCD"/>
    <w:rsid w:val="00D81B4E"/>
    <w:rsid w:val="00D8475D"/>
    <w:rsid w:val="00DA3C15"/>
    <w:rsid w:val="00DA6A0F"/>
    <w:rsid w:val="00DC1FAF"/>
    <w:rsid w:val="00DD014D"/>
    <w:rsid w:val="00DD346D"/>
    <w:rsid w:val="00DE2AA1"/>
    <w:rsid w:val="00DE3339"/>
    <w:rsid w:val="00DE5040"/>
    <w:rsid w:val="00DE580F"/>
    <w:rsid w:val="00DE7295"/>
    <w:rsid w:val="00DF2DE3"/>
    <w:rsid w:val="00DF61D7"/>
    <w:rsid w:val="00E0505B"/>
    <w:rsid w:val="00E05DF9"/>
    <w:rsid w:val="00E0739A"/>
    <w:rsid w:val="00E11312"/>
    <w:rsid w:val="00E15659"/>
    <w:rsid w:val="00E17902"/>
    <w:rsid w:val="00E270C2"/>
    <w:rsid w:val="00E27B7F"/>
    <w:rsid w:val="00E27EB9"/>
    <w:rsid w:val="00E31E63"/>
    <w:rsid w:val="00E36179"/>
    <w:rsid w:val="00E36233"/>
    <w:rsid w:val="00E408A9"/>
    <w:rsid w:val="00E5086E"/>
    <w:rsid w:val="00E51AAD"/>
    <w:rsid w:val="00E5230F"/>
    <w:rsid w:val="00E6010A"/>
    <w:rsid w:val="00E64501"/>
    <w:rsid w:val="00E64D85"/>
    <w:rsid w:val="00E83865"/>
    <w:rsid w:val="00E94C9B"/>
    <w:rsid w:val="00EA246C"/>
    <w:rsid w:val="00EA35B5"/>
    <w:rsid w:val="00EB2E1F"/>
    <w:rsid w:val="00EB5DBF"/>
    <w:rsid w:val="00EB673D"/>
    <w:rsid w:val="00EC3F3B"/>
    <w:rsid w:val="00EC6A8C"/>
    <w:rsid w:val="00ED2F50"/>
    <w:rsid w:val="00ED3BAE"/>
    <w:rsid w:val="00EE41A0"/>
    <w:rsid w:val="00EF6C8C"/>
    <w:rsid w:val="00F002A3"/>
    <w:rsid w:val="00F155E1"/>
    <w:rsid w:val="00F2160B"/>
    <w:rsid w:val="00F24F01"/>
    <w:rsid w:val="00F25192"/>
    <w:rsid w:val="00F31FDF"/>
    <w:rsid w:val="00F36AEE"/>
    <w:rsid w:val="00F462F1"/>
    <w:rsid w:val="00F53A38"/>
    <w:rsid w:val="00F6243A"/>
    <w:rsid w:val="00F67E89"/>
    <w:rsid w:val="00F76A48"/>
    <w:rsid w:val="00F77C77"/>
    <w:rsid w:val="00F9207C"/>
    <w:rsid w:val="00F929F3"/>
    <w:rsid w:val="00FA3563"/>
    <w:rsid w:val="00FA5DAE"/>
    <w:rsid w:val="00FA7F06"/>
    <w:rsid w:val="00FB5A40"/>
    <w:rsid w:val="00FC548D"/>
    <w:rsid w:val="00FC5AA2"/>
    <w:rsid w:val="00FE6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6990"/>
  <w15:docId w15:val="{D80BB1BE-CD24-4855-BC4F-F77C5E90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417"/>
    <w:pPr>
      <w:suppressAutoHyphens/>
      <w:spacing w:after="0" w:line="240" w:lineRule="auto"/>
    </w:pPr>
    <w:rPr>
      <w:rFonts w:ascii="Arial" w:eastAsia="Times New Roman" w:hAnsi="Arial" w:cs="Arial"/>
      <w:szCs w:val="24"/>
      <w:lang w:eastAsia="zh-CN"/>
    </w:rPr>
  </w:style>
  <w:style w:type="paragraph" w:styleId="Nadpis1">
    <w:name w:val="heading 1"/>
    <w:basedOn w:val="Normln"/>
    <w:next w:val="Normln"/>
    <w:link w:val="Nadpis1Char"/>
    <w:uiPriority w:val="9"/>
    <w:qFormat/>
    <w:rsid w:val="00F24F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583BB8"/>
    <w:pPr>
      <w:keepNext/>
      <w:numPr>
        <w:ilvl w:val="1"/>
        <w:numId w:val="6"/>
      </w:numPr>
      <w:spacing w:before="240" w:after="60"/>
      <w:outlineLvl w:val="1"/>
    </w:pPr>
    <w:rPr>
      <w:b/>
      <w:bCs/>
      <w:i/>
      <w:iCs/>
      <w:sz w:val="28"/>
      <w:szCs w:val="28"/>
    </w:rPr>
  </w:style>
  <w:style w:type="paragraph" w:styleId="Nadpis3">
    <w:name w:val="heading 3"/>
    <w:basedOn w:val="Normln"/>
    <w:next w:val="Normln"/>
    <w:link w:val="Nadpis3Char"/>
    <w:qFormat/>
    <w:rsid w:val="00583BB8"/>
    <w:pPr>
      <w:keepNext/>
      <w:numPr>
        <w:ilvl w:val="2"/>
        <w:numId w:val="6"/>
      </w:numPr>
      <w:spacing w:before="240" w:after="60"/>
      <w:outlineLvl w:val="2"/>
    </w:pPr>
    <w:rPr>
      <w:b/>
      <w:bCs/>
      <w:sz w:val="26"/>
      <w:szCs w:val="26"/>
    </w:rPr>
  </w:style>
  <w:style w:type="paragraph" w:styleId="Nadpis4">
    <w:name w:val="heading 4"/>
    <w:basedOn w:val="Normln"/>
    <w:next w:val="Normln"/>
    <w:link w:val="Nadpis4Char"/>
    <w:uiPriority w:val="9"/>
    <w:semiHidden/>
    <w:unhideWhenUsed/>
    <w:qFormat/>
    <w:rsid w:val="00A1678F"/>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583BB8"/>
    <w:pPr>
      <w:numPr>
        <w:ilvl w:val="4"/>
        <w:numId w:val="6"/>
      </w:numPr>
      <w:spacing w:before="240" w:after="60"/>
      <w:outlineLvl w:val="4"/>
    </w:pPr>
    <w:rPr>
      <w:rFonts w:ascii="Times New Roman" w:hAnsi="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C32417"/>
  </w:style>
  <w:style w:type="character" w:styleId="Hypertextovodkaz">
    <w:name w:val="Hyperlink"/>
    <w:rsid w:val="00C32417"/>
    <w:rPr>
      <w:color w:val="0000FF"/>
      <w:u w:val="single"/>
    </w:rPr>
  </w:style>
  <w:style w:type="paragraph" w:styleId="Zkladntext">
    <w:name w:val="Body Text"/>
    <w:basedOn w:val="Normln"/>
    <w:link w:val="ZkladntextChar"/>
    <w:rsid w:val="00C32417"/>
    <w:pPr>
      <w:widowControl w:val="0"/>
    </w:pPr>
    <w:rPr>
      <w:rFonts w:ascii="Times New Roman" w:hAnsi="Times New Roman" w:cs="Times New Roman"/>
      <w:color w:val="000000"/>
      <w:sz w:val="24"/>
      <w:szCs w:val="20"/>
    </w:rPr>
  </w:style>
  <w:style w:type="character" w:customStyle="1" w:styleId="ZkladntextChar">
    <w:name w:val="Základní text Char"/>
    <w:basedOn w:val="Standardnpsmoodstavce"/>
    <w:link w:val="Zkladntext"/>
    <w:rsid w:val="00C32417"/>
    <w:rPr>
      <w:rFonts w:ascii="Times New Roman" w:eastAsia="Times New Roman" w:hAnsi="Times New Roman" w:cs="Times New Roman"/>
      <w:color w:val="000000"/>
      <w:sz w:val="24"/>
      <w:szCs w:val="20"/>
      <w:lang w:eastAsia="zh-CN"/>
    </w:rPr>
  </w:style>
  <w:style w:type="paragraph" w:styleId="Zpat">
    <w:name w:val="footer"/>
    <w:basedOn w:val="Normln"/>
    <w:link w:val="ZpatChar"/>
    <w:uiPriority w:val="99"/>
    <w:rsid w:val="00C32417"/>
    <w:pPr>
      <w:tabs>
        <w:tab w:val="center" w:pos="4536"/>
        <w:tab w:val="right" w:pos="9072"/>
      </w:tabs>
    </w:pPr>
  </w:style>
  <w:style w:type="character" w:customStyle="1" w:styleId="ZpatChar">
    <w:name w:val="Zápatí Char"/>
    <w:basedOn w:val="Standardnpsmoodstavce"/>
    <w:link w:val="Zpat"/>
    <w:uiPriority w:val="99"/>
    <w:rsid w:val="00C32417"/>
    <w:rPr>
      <w:rFonts w:ascii="Arial" w:eastAsia="Times New Roman" w:hAnsi="Arial" w:cs="Arial"/>
      <w:szCs w:val="24"/>
      <w:lang w:eastAsia="zh-CN"/>
    </w:rPr>
  </w:style>
  <w:style w:type="paragraph" w:customStyle="1" w:styleId="Bezmezer1">
    <w:name w:val="Bez mezer1"/>
    <w:rsid w:val="00C32417"/>
    <w:pPr>
      <w:suppressAutoHyphens/>
      <w:spacing w:after="0" w:line="240" w:lineRule="auto"/>
    </w:pPr>
    <w:rPr>
      <w:rFonts w:ascii="Calibri" w:eastAsia="Times New Roman" w:hAnsi="Calibri" w:cs="Calibri"/>
      <w:lang w:eastAsia="zh-CN"/>
    </w:rPr>
  </w:style>
  <w:style w:type="paragraph" w:customStyle="1" w:styleId="Default">
    <w:name w:val="Default"/>
    <w:rsid w:val="00C3241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uiPriority w:val="99"/>
    <w:unhideWhenUsed/>
    <w:rsid w:val="004D6A97"/>
    <w:rPr>
      <w:sz w:val="16"/>
      <w:szCs w:val="16"/>
    </w:rPr>
  </w:style>
  <w:style w:type="paragraph" w:styleId="Textkomente">
    <w:name w:val="annotation text"/>
    <w:aliases w:val=" Char"/>
    <w:basedOn w:val="Normln"/>
    <w:link w:val="TextkomenteChar2"/>
    <w:uiPriority w:val="99"/>
    <w:unhideWhenUsed/>
    <w:rsid w:val="004D6A97"/>
    <w:rPr>
      <w:sz w:val="20"/>
      <w:szCs w:val="20"/>
    </w:rPr>
  </w:style>
  <w:style w:type="character" w:customStyle="1" w:styleId="TextkomenteChar">
    <w:name w:val="Text komentáře Char"/>
    <w:aliases w:val=" Char Char1"/>
    <w:basedOn w:val="Standardnpsmoodstavce"/>
    <w:uiPriority w:val="99"/>
    <w:rsid w:val="004D6A97"/>
    <w:rPr>
      <w:rFonts w:ascii="Arial" w:eastAsia="Times New Roman" w:hAnsi="Arial" w:cs="Arial"/>
      <w:sz w:val="20"/>
      <w:szCs w:val="20"/>
      <w:lang w:eastAsia="zh-CN"/>
    </w:rPr>
  </w:style>
  <w:style w:type="character" w:customStyle="1" w:styleId="TextkomenteChar2">
    <w:name w:val="Text komentáře Char2"/>
    <w:aliases w:val=" Char Char"/>
    <w:link w:val="Textkomente"/>
    <w:uiPriority w:val="99"/>
    <w:rsid w:val="00C32417"/>
    <w:rPr>
      <w:rFonts w:ascii="Arial" w:eastAsia="Times New Roman" w:hAnsi="Arial" w:cs="Arial"/>
      <w:sz w:val="20"/>
      <w:szCs w:val="20"/>
      <w:lang w:eastAsia="zh-CN"/>
    </w:rPr>
  </w:style>
  <w:style w:type="character" w:customStyle="1" w:styleId="h1a6">
    <w:name w:val="h1a6"/>
    <w:rsid w:val="00C32417"/>
    <w:rPr>
      <w:rFonts w:ascii="Arial" w:hAnsi="Arial" w:cs="Arial" w:hint="default"/>
      <w:i/>
      <w:iCs/>
      <w:vanish w:val="0"/>
      <w:webHidden w:val="0"/>
      <w:sz w:val="26"/>
      <w:szCs w:val="26"/>
      <w:specVanish w:val="0"/>
    </w:rPr>
  </w:style>
  <w:style w:type="paragraph" w:customStyle="1" w:styleId="l3">
    <w:name w:val="l3"/>
    <w:basedOn w:val="Normln"/>
    <w:rsid w:val="00C32417"/>
    <w:pPr>
      <w:suppressAutoHyphens w:val="0"/>
      <w:spacing w:before="100" w:beforeAutospacing="1" w:after="100" w:afterAutospacing="1"/>
    </w:pPr>
    <w:rPr>
      <w:rFonts w:ascii="Times New Roman" w:hAnsi="Times New Roman" w:cs="Times New Roman"/>
      <w:sz w:val="24"/>
      <w:lang w:eastAsia="cs-CZ"/>
    </w:rPr>
  </w:style>
  <w:style w:type="paragraph" w:styleId="Textbubliny">
    <w:name w:val="Balloon Text"/>
    <w:basedOn w:val="Normln"/>
    <w:link w:val="TextbublinyChar"/>
    <w:uiPriority w:val="99"/>
    <w:semiHidden/>
    <w:unhideWhenUsed/>
    <w:rsid w:val="00C32417"/>
    <w:rPr>
      <w:rFonts w:ascii="Tahoma" w:hAnsi="Tahoma" w:cs="Tahoma"/>
      <w:sz w:val="16"/>
      <w:szCs w:val="16"/>
    </w:rPr>
  </w:style>
  <w:style w:type="character" w:customStyle="1" w:styleId="TextbublinyChar">
    <w:name w:val="Text bubliny Char"/>
    <w:basedOn w:val="Standardnpsmoodstavce"/>
    <w:link w:val="Textbubliny"/>
    <w:uiPriority w:val="99"/>
    <w:semiHidden/>
    <w:rsid w:val="00C32417"/>
    <w:rPr>
      <w:rFonts w:ascii="Tahoma" w:eastAsia="Times New Roman" w:hAnsi="Tahoma" w:cs="Tahoma"/>
      <w:sz w:val="16"/>
      <w:szCs w:val="16"/>
      <w:lang w:eastAsia="zh-CN"/>
    </w:rPr>
  </w:style>
  <w:style w:type="character" w:customStyle="1" w:styleId="TextkomenteChar1">
    <w:name w:val="Text komentáře Char1"/>
    <w:uiPriority w:val="99"/>
    <w:semiHidden/>
    <w:rsid w:val="00920B07"/>
    <w:rPr>
      <w:rFonts w:ascii="Arial" w:eastAsia="Times New Roman" w:hAnsi="Arial" w:cs="Arial"/>
      <w:sz w:val="20"/>
      <w:szCs w:val="20"/>
      <w:lang w:eastAsia="zh-CN"/>
    </w:rPr>
  </w:style>
  <w:style w:type="paragraph" w:styleId="Zhlav">
    <w:name w:val="header"/>
    <w:basedOn w:val="Normln"/>
    <w:link w:val="ZhlavChar"/>
    <w:uiPriority w:val="99"/>
    <w:unhideWhenUsed/>
    <w:rsid w:val="00920B07"/>
    <w:pPr>
      <w:tabs>
        <w:tab w:val="center" w:pos="4536"/>
        <w:tab w:val="right" w:pos="9072"/>
      </w:tabs>
    </w:pPr>
  </w:style>
  <w:style w:type="character" w:customStyle="1" w:styleId="ZhlavChar">
    <w:name w:val="Záhlaví Char"/>
    <w:basedOn w:val="Standardnpsmoodstavce"/>
    <w:link w:val="Zhlav"/>
    <w:uiPriority w:val="99"/>
    <w:rsid w:val="00920B07"/>
    <w:rPr>
      <w:rFonts w:ascii="Arial" w:eastAsia="Times New Roman" w:hAnsi="Arial" w:cs="Arial"/>
      <w:szCs w:val="24"/>
      <w:lang w:eastAsia="zh-CN"/>
    </w:rPr>
  </w:style>
  <w:style w:type="paragraph" w:styleId="Pedmtkomente">
    <w:name w:val="annotation subject"/>
    <w:basedOn w:val="Textkomente"/>
    <w:next w:val="Textkomente"/>
    <w:link w:val="PedmtkomenteChar"/>
    <w:uiPriority w:val="99"/>
    <w:semiHidden/>
    <w:unhideWhenUsed/>
    <w:rsid w:val="000D487B"/>
    <w:rPr>
      <w:b/>
      <w:bCs/>
    </w:rPr>
  </w:style>
  <w:style w:type="character" w:customStyle="1" w:styleId="PedmtkomenteChar">
    <w:name w:val="Předmět komentáře Char"/>
    <w:basedOn w:val="TextkomenteChar2"/>
    <w:link w:val="Pedmtkomente"/>
    <w:uiPriority w:val="99"/>
    <w:semiHidden/>
    <w:rsid w:val="000D487B"/>
    <w:rPr>
      <w:rFonts w:ascii="Arial" w:eastAsia="Times New Roman" w:hAnsi="Arial" w:cs="Arial"/>
      <w:b/>
      <w:bCs/>
      <w:sz w:val="20"/>
      <w:szCs w:val="20"/>
      <w:lang w:eastAsia="zh-CN"/>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AA1B50"/>
    <w:pPr>
      <w:ind w:left="720"/>
      <w:contextualSpacing/>
    </w:pPr>
  </w:style>
  <w:style w:type="character" w:customStyle="1" w:styleId="Nadpis2Char">
    <w:name w:val="Nadpis 2 Char"/>
    <w:basedOn w:val="Standardnpsmoodstavce"/>
    <w:link w:val="Nadpis2"/>
    <w:rsid w:val="00583BB8"/>
    <w:rPr>
      <w:rFonts w:ascii="Arial" w:eastAsia="Times New Roman" w:hAnsi="Arial" w:cs="Arial"/>
      <w:b/>
      <w:bCs/>
      <w:i/>
      <w:iCs/>
      <w:sz w:val="28"/>
      <w:szCs w:val="28"/>
      <w:lang w:eastAsia="zh-CN"/>
    </w:rPr>
  </w:style>
  <w:style w:type="character" w:customStyle="1" w:styleId="Nadpis3Char">
    <w:name w:val="Nadpis 3 Char"/>
    <w:basedOn w:val="Standardnpsmoodstavce"/>
    <w:link w:val="Nadpis3"/>
    <w:rsid w:val="00583BB8"/>
    <w:rPr>
      <w:rFonts w:ascii="Arial" w:eastAsia="Times New Roman" w:hAnsi="Arial" w:cs="Arial"/>
      <w:b/>
      <w:bCs/>
      <w:sz w:val="26"/>
      <w:szCs w:val="26"/>
      <w:lang w:eastAsia="zh-CN"/>
    </w:rPr>
  </w:style>
  <w:style w:type="character" w:customStyle="1" w:styleId="Nadpis5Char">
    <w:name w:val="Nadpis 5 Char"/>
    <w:basedOn w:val="Standardnpsmoodstavce"/>
    <w:link w:val="Nadpis5"/>
    <w:rsid w:val="00583BB8"/>
    <w:rPr>
      <w:rFonts w:ascii="Times New Roman" w:eastAsia="Times New Roman" w:hAnsi="Times New Roman" w:cs="Times New Roman"/>
      <w:b/>
      <w:bCs/>
      <w:i/>
      <w:iCs/>
      <w:sz w:val="26"/>
      <w:szCs w:val="26"/>
      <w:lang w:eastAsia="zh-CN"/>
    </w:rPr>
  </w:style>
  <w:style w:type="paragraph" w:styleId="Revize">
    <w:name w:val="Revision"/>
    <w:hidden/>
    <w:uiPriority w:val="99"/>
    <w:semiHidden/>
    <w:rsid w:val="00F2160B"/>
    <w:pPr>
      <w:spacing w:after="0" w:line="240" w:lineRule="auto"/>
    </w:pPr>
    <w:rPr>
      <w:rFonts w:ascii="Arial" w:eastAsia="Times New Roman" w:hAnsi="Arial" w:cs="Arial"/>
      <w:szCs w:val="24"/>
      <w:lang w:eastAsia="zh-CN"/>
    </w:rPr>
  </w:style>
  <w:style w:type="character" w:customStyle="1" w:styleId="Nadpis4Char">
    <w:name w:val="Nadpis 4 Char"/>
    <w:basedOn w:val="Standardnpsmoodstavce"/>
    <w:link w:val="Nadpis4"/>
    <w:uiPriority w:val="9"/>
    <w:semiHidden/>
    <w:rsid w:val="00A1678F"/>
    <w:rPr>
      <w:rFonts w:asciiTheme="majorHAnsi" w:eastAsiaTheme="majorEastAsia" w:hAnsiTheme="majorHAnsi" w:cstheme="majorBidi"/>
      <w:b/>
      <w:bCs/>
      <w:i/>
      <w:iCs/>
      <w:color w:val="4F81BD" w:themeColor="accent1"/>
      <w:szCs w:val="24"/>
      <w:lang w:eastAsia="zh-CN"/>
    </w:rPr>
  </w:style>
  <w:style w:type="paragraph" w:styleId="Zkladntext2">
    <w:name w:val="Body Text 2"/>
    <w:basedOn w:val="Normln"/>
    <w:link w:val="Zkladntext2Char"/>
    <w:uiPriority w:val="99"/>
    <w:unhideWhenUsed/>
    <w:rsid w:val="00A1678F"/>
    <w:pPr>
      <w:spacing w:after="120" w:line="480" w:lineRule="auto"/>
    </w:pPr>
  </w:style>
  <w:style w:type="character" w:customStyle="1" w:styleId="Zkladntext2Char">
    <w:name w:val="Základní text 2 Char"/>
    <w:basedOn w:val="Standardnpsmoodstavce"/>
    <w:link w:val="Zkladntext2"/>
    <w:uiPriority w:val="99"/>
    <w:rsid w:val="00A1678F"/>
    <w:rPr>
      <w:rFonts w:ascii="Arial" w:eastAsia="Times New Roman" w:hAnsi="Arial" w:cs="Arial"/>
      <w:szCs w:val="24"/>
      <w:lang w:eastAsia="zh-CN"/>
    </w:rPr>
  </w:style>
  <w:style w:type="paragraph" w:styleId="Zkladntextodsazen2">
    <w:name w:val="Body Text Indent 2"/>
    <w:basedOn w:val="Normln"/>
    <w:link w:val="Zkladntextodsazen2Char1"/>
    <w:uiPriority w:val="99"/>
    <w:unhideWhenUsed/>
    <w:rsid w:val="00272EE2"/>
    <w:pPr>
      <w:spacing w:after="120" w:line="480" w:lineRule="auto"/>
      <w:ind w:left="283"/>
    </w:pPr>
  </w:style>
  <w:style w:type="character" w:customStyle="1" w:styleId="Zkladntextodsazen2Char">
    <w:name w:val="Základní text odsazený 2 Char"/>
    <w:basedOn w:val="Standardnpsmoodstavce"/>
    <w:uiPriority w:val="99"/>
    <w:semiHidden/>
    <w:rsid w:val="00272EE2"/>
    <w:rPr>
      <w:rFonts w:ascii="Arial" w:eastAsia="Times New Roman" w:hAnsi="Arial" w:cs="Arial"/>
      <w:szCs w:val="24"/>
      <w:lang w:eastAsia="zh-CN"/>
    </w:rPr>
  </w:style>
  <w:style w:type="character" w:customStyle="1" w:styleId="Zkladntextodsazen2Char1">
    <w:name w:val="Základní text odsazený 2 Char1"/>
    <w:link w:val="Zkladntextodsazen2"/>
    <w:uiPriority w:val="99"/>
    <w:locked/>
    <w:rsid w:val="00272EE2"/>
    <w:rPr>
      <w:rFonts w:ascii="Arial" w:eastAsia="Times New Roman" w:hAnsi="Arial" w:cs="Arial"/>
      <w:szCs w:val="24"/>
      <w:lang w:eastAsia="zh-CN"/>
    </w:rPr>
  </w:style>
  <w:style w:type="paragraph" w:customStyle="1" w:styleId="Standard">
    <w:name w:val="Standard"/>
    <w:rsid w:val="002A29C1"/>
    <w:pPr>
      <w:suppressAutoHyphens/>
      <w:autoSpaceDN w:val="0"/>
      <w:spacing w:after="160" w:line="240" w:lineRule="auto"/>
      <w:textAlignment w:val="baseline"/>
    </w:pPr>
    <w:rPr>
      <w:rFonts w:ascii="Calibri" w:eastAsia="SimSun" w:hAnsi="Calibri" w:cs="F"/>
      <w:kern w:val="3"/>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locked/>
    <w:rsid w:val="00A770A9"/>
    <w:rPr>
      <w:rFonts w:ascii="Arial" w:eastAsia="Times New Roman" w:hAnsi="Arial" w:cs="Arial"/>
      <w:szCs w:val="24"/>
      <w:lang w:eastAsia="zh-CN"/>
    </w:rPr>
  </w:style>
  <w:style w:type="paragraph" w:customStyle="1" w:styleId="Import40">
    <w:name w:val="Import 40"/>
    <w:rsid w:val="00A770A9"/>
    <w:pPr>
      <w:tabs>
        <w:tab w:val="left" w:pos="360"/>
        <w:tab w:val="left" w:pos="4248"/>
        <w:tab w:val="left" w:pos="5976"/>
      </w:tabs>
      <w:spacing w:after="0" w:line="240" w:lineRule="auto"/>
      <w:jc w:val="both"/>
    </w:pPr>
    <w:rPr>
      <w:rFonts w:ascii="Avinion" w:eastAsia="Times New Roman" w:hAnsi="Avinion" w:cs="Times New Roman"/>
      <w:sz w:val="24"/>
      <w:szCs w:val="20"/>
      <w:lang w:val="en-US" w:eastAsia="cs-CZ"/>
    </w:rPr>
  </w:style>
  <w:style w:type="character" w:customStyle="1" w:styleId="Nadpis1Char">
    <w:name w:val="Nadpis 1 Char"/>
    <w:basedOn w:val="Standardnpsmoodstavce"/>
    <w:link w:val="Nadpis1"/>
    <w:uiPriority w:val="9"/>
    <w:rsid w:val="00F24F01"/>
    <w:rPr>
      <w:rFonts w:asciiTheme="majorHAnsi" w:eastAsiaTheme="majorEastAsia" w:hAnsiTheme="majorHAnsi" w:cstheme="majorBidi"/>
      <w:color w:val="365F91" w:themeColor="accent1" w:themeShade="BF"/>
      <w:sz w:val="32"/>
      <w:szCs w:val="32"/>
      <w:lang w:eastAsia="zh-CN"/>
    </w:rPr>
  </w:style>
  <w:style w:type="paragraph" w:customStyle="1" w:styleId="Import22">
    <w:name w:val="Import 22"/>
    <w:rsid w:val="00141072"/>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odrkyChar">
    <w:name w:val="odrážky Char"/>
    <w:basedOn w:val="Zkladntextodsazen"/>
    <w:rsid w:val="00141072"/>
    <w:pPr>
      <w:suppressAutoHyphens w:val="0"/>
      <w:spacing w:before="120"/>
      <w:ind w:left="0"/>
      <w:jc w:val="both"/>
    </w:pPr>
    <w:rPr>
      <w:rFonts w:eastAsia="Calibri"/>
      <w:szCs w:val="22"/>
      <w:lang w:eastAsia="cs-CZ"/>
    </w:rPr>
  </w:style>
  <w:style w:type="paragraph" w:styleId="Zkladntextodsazen">
    <w:name w:val="Body Text Indent"/>
    <w:basedOn w:val="Normln"/>
    <w:link w:val="ZkladntextodsazenChar"/>
    <w:uiPriority w:val="99"/>
    <w:semiHidden/>
    <w:unhideWhenUsed/>
    <w:rsid w:val="00141072"/>
    <w:pPr>
      <w:spacing w:after="120"/>
      <w:ind w:left="283"/>
    </w:pPr>
  </w:style>
  <w:style w:type="character" w:customStyle="1" w:styleId="ZkladntextodsazenChar">
    <w:name w:val="Základní text odsazený Char"/>
    <w:basedOn w:val="Standardnpsmoodstavce"/>
    <w:link w:val="Zkladntextodsazen"/>
    <w:uiPriority w:val="99"/>
    <w:semiHidden/>
    <w:rsid w:val="00141072"/>
    <w:rPr>
      <w:rFonts w:ascii="Arial" w:eastAsia="Times New Roman"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9855">
      <w:bodyDiv w:val="1"/>
      <w:marLeft w:val="0"/>
      <w:marRight w:val="0"/>
      <w:marTop w:val="0"/>
      <w:marBottom w:val="0"/>
      <w:divBdr>
        <w:top w:val="none" w:sz="0" w:space="0" w:color="auto"/>
        <w:left w:val="none" w:sz="0" w:space="0" w:color="auto"/>
        <w:bottom w:val="none" w:sz="0" w:space="0" w:color="auto"/>
        <w:right w:val="none" w:sz="0" w:space="0" w:color="auto"/>
      </w:divBdr>
    </w:div>
    <w:div w:id="117989005">
      <w:bodyDiv w:val="1"/>
      <w:marLeft w:val="0"/>
      <w:marRight w:val="0"/>
      <w:marTop w:val="0"/>
      <w:marBottom w:val="0"/>
      <w:divBdr>
        <w:top w:val="none" w:sz="0" w:space="0" w:color="auto"/>
        <w:left w:val="none" w:sz="0" w:space="0" w:color="auto"/>
        <w:bottom w:val="none" w:sz="0" w:space="0" w:color="auto"/>
        <w:right w:val="none" w:sz="0" w:space="0" w:color="auto"/>
      </w:divBdr>
    </w:div>
    <w:div w:id="863321873">
      <w:bodyDiv w:val="1"/>
      <w:marLeft w:val="0"/>
      <w:marRight w:val="0"/>
      <w:marTop w:val="0"/>
      <w:marBottom w:val="0"/>
      <w:divBdr>
        <w:top w:val="none" w:sz="0" w:space="0" w:color="auto"/>
        <w:left w:val="none" w:sz="0" w:space="0" w:color="auto"/>
        <w:bottom w:val="none" w:sz="0" w:space="0" w:color="auto"/>
        <w:right w:val="none" w:sz="0" w:space="0" w:color="auto"/>
      </w:divBdr>
    </w:div>
    <w:div w:id="1588348616">
      <w:bodyDiv w:val="1"/>
      <w:marLeft w:val="0"/>
      <w:marRight w:val="0"/>
      <w:marTop w:val="0"/>
      <w:marBottom w:val="0"/>
      <w:divBdr>
        <w:top w:val="none" w:sz="0" w:space="0" w:color="auto"/>
        <w:left w:val="none" w:sz="0" w:space="0" w:color="auto"/>
        <w:bottom w:val="none" w:sz="0" w:space="0" w:color="auto"/>
        <w:right w:val="none" w:sz="0" w:space="0" w:color="auto"/>
      </w:divBdr>
    </w:div>
    <w:div w:id="1677415839">
      <w:bodyDiv w:val="1"/>
      <w:marLeft w:val="0"/>
      <w:marRight w:val="0"/>
      <w:marTop w:val="0"/>
      <w:marBottom w:val="0"/>
      <w:divBdr>
        <w:top w:val="none" w:sz="0" w:space="0" w:color="auto"/>
        <w:left w:val="none" w:sz="0" w:space="0" w:color="auto"/>
        <w:bottom w:val="none" w:sz="0" w:space="0" w:color="auto"/>
        <w:right w:val="none" w:sz="0" w:space="0" w:color="auto"/>
      </w:divBdr>
    </w:div>
    <w:div w:id="1788695019">
      <w:bodyDiv w:val="1"/>
      <w:marLeft w:val="0"/>
      <w:marRight w:val="0"/>
      <w:marTop w:val="0"/>
      <w:marBottom w:val="0"/>
      <w:divBdr>
        <w:top w:val="none" w:sz="0" w:space="0" w:color="auto"/>
        <w:left w:val="none" w:sz="0" w:space="0" w:color="auto"/>
        <w:bottom w:val="none" w:sz="0" w:space="0" w:color="auto"/>
        <w:right w:val="none" w:sz="0" w:space="0" w:color="auto"/>
      </w:divBdr>
    </w:div>
    <w:div w:id="21174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E0E0-2F08-43F7-9D16-83A1AE4C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2090</Words>
  <Characters>12333</Characters>
  <Application>Microsoft Office Word</Application>
  <DocSecurity>4</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Praha 7</Company>
  <LinksUpToDate>false</LinksUpToDate>
  <CharactersWithSpaces>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VED OIVZ Hana Pochmannová</dc:creator>
  <cp:lastModifiedBy>Šišková Jana</cp:lastModifiedBy>
  <cp:revision>2</cp:revision>
  <cp:lastPrinted>2025-07-28T12:06:00Z</cp:lastPrinted>
  <dcterms:created xsi:type="dcterms:W3CDTF">2025-07-28T14:16:00Z</dcterms:created>
  <dcterms:modified xsi:type="dcterms:W3CDTF">2025-07-28T14:16:00Z</dcterms:modified>
</cp:coreProperties>
</file>