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r>
        <w:rPr>
          <w:rStyle w:val="CharStyle3"/>
          <w:b/>
          <w:bCs/>
        </w:rPr>
        <w:t>KUPNÍ SMLOUVA</w:t>
      </w:r>
      <w:bookmarkEnd w:id="0"/>
    </w:p>
    <w:p>
      <w:pPr>
        <w:pStyle w:val="Style10"/>
        <w:keepNext w:val="0"/>
        <w:keepLines w:val="0"/>
        <w:widowControl w:val="0"/>
        <w:shd w:val="clear" w:color="auto" w:fill="auto"/>
        <w:bidi w:val="0"/>
        <w:spacing w:before="0" w:after="0" w:line="233" w:lineRule="auto"/>
        <w:ind w:left="0" w:right="0" w:firstLine="0"/>
        <w:jc w:val="center"/>
      </w:pPr>
      <w:r>
        <w:rPr>
          <w:rStyle w:val="CharStyle11"/>
        </w:rPr>
        <w:t>uzavřená v souladu s ustanovením § 2079 a násl. zákona č. 89/2012 Sb., občanský zákoník, ve</w:t>
        <w:br/>
        <w:t>znění pozdějších předpisů (dále jen „</w:t>
      </w:r>
      <w:r>
        <w:rPr>
          <w:rStyle w:val="CharStyle11"/>
          <w:b/>
          <w:bCs/>
        </w:rPr>
        <w:t>OZ</w:t>
      </w:r>
      <w:r>
        <w:rPr>
          <w:rStyle w:val="CharStyle11"/>
        </w:rPr>
        <w:t>“), mezi následujícími smluvními stranami (dále jen</w:t>
      </w:r>
    </w:p>
    <w:p>
      <w:pPr>
        <w:pStyle w:val="Style10"/>
        <w:keepNext w:val="0"/>
        <w:keepLines w:val="0"/>
        <w:widowControl w:val="0"/>
        <w:shd w:val="clear" w:color="auto" w:fill="auto"/>
        <w:bidi w:val="0"/>
        <w:spacing w:before="0" w:line="233" w:lineRule="auto"/>
        <w:ind w:left="0" w:right="0" w:firstLine="0"/>
        <w:jc w:val="center"/>
      </w:pPr>
      <w:r>
        <w:rPr>
          <w:rStyle w:val="CharStyle11"/>
        </w:rPr>
        <w:t>„</w:t>
      </w:r>
      <w:r>
        <w:rPr>
          <w:rStyle w:val="CharStyle11"/>
          <w:b/>
          <w:bCs/>
        </w:rPr>
        <w:t>Smlouva</w:t>
      </w:r>
      <w:r>
        <w:rPr>
          <w:rStyle w:val="CharStyle11"/>
        </w:rPr>
        <w:t>“):</w:t>
      </w:r>
    </w:p>
    <w:p>
      <w:pPr>
        <w:pStyle w:val="Style10"/>
        <w:keepNext w:val="0"/>
        <w:keepLines w:val="0"/>
        <w:widowControl w:val="0"/>
        <w:numPr>
          <w:ilvl w:val="0"/>
          <w:numId w:val="1"/>
        </w:numPr>
        <w:shd w:val="clear" w:color="auto" w:fill="auto"/>
        <w:tabs>
          <w:tab w:pos="562" w:val="left"/>
        </w:tabs>
        <w:bidi w:val="0"/>
        <w:spacing w:before="0" w:line="233" w:lineRule="auto"/>
        <w:ind w:left="0" w:right="0" w:firstLine="0"/>
        <w:jc w:val="both"/>
      </w:pPr>
      <w:r>
        <w:rPr>
          <w:rStyle w:val="CharStyle11"/>
          <w:b/>
          <w:bCs/>
        </w:rPr>
        <w:t>SMLUVNÍ STRANY</w:t>
      </w:r>
    </w:p>
    <w:p>
      <w:pPr>
        <w:pStyle w:val="Style13"/>
        <w:keepNext w:val="0"/>
        <w:keepLines w:val="0"/>
        <w:widowControl w:val="0"/>
        <w:shd w:val="clear" w:color="auto" w:fill="auto"/>
        <w:bidi w:val="0"/>
        <w:spacing w:before="0" w:after="0" w:line="240" w:lineRule="auto"/>
        <w:ind w:left="14" w:right="0" w:firstLine="0"/>
        <w:jc w:val="left"/>
      </w:pPr>
      <w:r>
        <w:rPr>
          <w:rStyle w:val="CharStyle14"/>
        </w:rPr>
        <w:t xml:space="preserve">1.1. </w:t>
      </w:r>
      <w:r>
        <w:rPr>
          <w:rStyle w:val="CharStyle14"/>
          <w:b/>
          <w:bCs/>
        </w:rPr>
        <w:t>Kupující:</w:t>
      </w:r>
    </w:p>
    <w:tbl>
      <w:tblPr>
        <w:tblOverlap w:val="never"/>
        <w:jc w:val="left"/>
        <w:tblLayout w:type="fixed"/>
      </w:tblPr>
      <w:tblGrid>
        <w:gridCol w:w="1992"/>
        <w:gridCol w:w="3830"/>
      </w:tblGrid>
      <w:tr>
        <w:trPr>
          <w:trHeight w:val="312" w:hRule="exact"/>
        </w:trPr>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Style w:val="CharStyle17"/>
              </w:rPr>
              <w:t>Název:</w:t>
            </w:r>
          </w:p>
        </w:tc>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80"/>
              <w:jc w:val="left"/>
            </w:pPr>
            <w:r>
              <w:rPr>
                <w:rStyle w:val="CharStyle17"/>
                <w:b/>
                <w:bCs/>
              </w:rPr>
              <w:t>Gymnázium, Praha 5, Na Zatlance 11</w:t>
            </w:r>
          </w:p>
        </w:tc>
      </w:tr>
      <w:tr>
        <w:trPr>
          <w:trHeight w:val="259" w:hRule="exact"/>
        </w:trPr>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Style w:val="CharStyle17"/>
              </w:rPr>
              <w:t>se sídlem:</w:t>
            </w:r>
          </w:p>
        </w:tc>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80"/>
              <w:jc w:val="left"/>
            </w:pPr>
            <w:r>
              <w:rPr>
                <w:rStyle w:val="CharStyle17"/>
              </w:rPr>
              <w:t>Na Zatlance 11, 150 00 Praha 5</w:t>
            </w:r>
          </w:p>
        </w:tc>
      </w:tr>
      <w:tr>
        <w:trPr>
          <w:trHeight w:val="302" w:hRule="exact"/>
        </w:trPr>
        <w:tc>
          <w:tcPr>
            <w:tcBorders/>
            <w:shd w:val="clear" w:color="auto" w:fill="auto"/>
            <w:vAlign w:val="top"/>
          </w:tcPr>
          <w:p>
            <w:pPr>
              <w:pStyle w:val="Style16"/>
              <w:keepNext w:val="0"/>
              <w:keepLines w:val="0"/>
              <w:widowControl w:val="0"/>
              <w:shd w:val="clear" w:color="auto" w:fill="auto"/>
              <w:bidi w:val="0"/>
              <w:spacing w:before="0" w:after="0" w:line="240" w:lineRule="auto"/>
              <w:ind w:left="0" w:right="0" w:firstLine="0"/>
              <w:jc w:val="left"/>
            </w:pPr>
            <w:r>
              <w:rPr>
                <w:rStyle w:val="CharStyle17"/>
              </w:rPr>
              <w:t>IČO:</w:t>
            </w:r>
          </w:p>
        </w:tc>
        <w:tc>
          <w:tcPr>
            <w:tcBorders/>
            <w:shd w:val="clear" w:color="auto" w:fill="auto"/>
            <w:vAlign w:val="top"/>
          </w:tcPr>
          <w:p>
            <w:pPr>
              <w:pStyle w:val="Style16"/>
              <w:keepNext w:val="0"/>
              <w:keepLines w:val="0"/>
              <w:widowControl w:val="0"/>
              <w:shd w:val="clear" w:color="auto" w:fill="auto"/>
              <w:bidi w:val="0"/>
              <w:spacing w:before="0" w:after="0" w:line="240" w:lineRule="auto"/>
              <w:ind w:left="0" w:right="0" w:firstLine="280"/>
              <w:jc w:val="left"/>
            </w:pPr>
            <w:r>
              <w:rPr>
                <w:rStyle w:val="CharStyle17"/>
              </w:rPr>
              <w:t>613 85 271</w:t>
            </w:r>
          </w:p>
        </w:tc>
      </w:tr>
      <w:tr>
        <w:trPr>
          <w:trHeight w:val="302" w:hRule="exact"/>
        </w:trPr>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Style w:val="CharStyle17"/>
              </w:rPr>
              <w:t>ID datové schránky:</w:t>
            </w:r>
          </w:p>
        </w:tc>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80"/>
              <w:jc w:val="left"/>
            </w:pPr>
            <w:r>
              <w:rPr>
                <w:rStyle w:val="CharStyle17"/>
              </w:rPr>
              <w:t>hdpzb4b</w:t>
            </w:r>
          </w:p>
        </w:tc>
      </w:tr>
      <w:tr>
        <w:trPr>
          <w:trHeight w:val="293" w:hRule="exact"/>
        </w:trPr>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0"/>
              <w:jc w:val="left"/>
            </w:pPr>
            <w:r>
              <w:rPr>
                <w:rStyle w:val="CharStyle17"/>
              </w:rPr>
              <w:t>zastoupená:</w:t>
            </w:r>
          </w:p>
        </w:tc>
        <w:tc>
          <w:tcPr>
            <w:tcBorders/>
            <w:shd w:val="clear" w:color="auto" w:fill="auto"/>
            <w:vAlign w:val="bottom"/>
          </w:tcPr>
          <w:p>
            <w:pPr>
              <w:pStyle w:val="Style16"/>
              <w:keepNext w:val="0"/>
              <w:keepLines w:val="0"/>
              <w:widowControl w:val="0"/>
              <w:shd w:val="clear" w:color="auto" w:fill="auto"/>
              <w:bidi w:val="0"/>
              <w:spacing w:before="0" w:after="0" w:line="240" w:lineRule="auto"/>
              <w:ind w:left="0" w:right="0" w:firstLine="280"/>
              <w:jc w:val="left"/>
            </w:pPr>
            <w:r>
              <w:rPr>
                <w:rStyle w:val="CharStyle17"/>
              </w:rPr>
              <w:t>Mgr. Dagmar Škorpíkovou, ředitelkou</w:t>
            </w:r>
          </w:p>
        </w:tc>
      </w:tr>
    </w:tbl>
    <w:p>
      <w:pPr>
        <w:pStyle w:val="Style13"/>
        <w:keepNext w:val="0"/>
        <w:keepLines w:val="0"/>
        <w:widowControl w:val="0"/>
        <w:shd w:val="clear" w:color="auto" w:fill="auto"/>
        <w:bidi w:val="0"/>
        <w:spacing w:before="0" w:after="0" w:line="240" w:lineRule="auto"/>
        <w:ind w:left="10" w:right="0" w:firstLine="0"/>
        <w:jc w:val="left"/>
      </w:pPr>
      <w:r>
        <w:rPr>
          <w:rStyle w:val="CharStyle14"/>
        </w:rPr>
        <w:t>(dále jen jako „</w:t>
      </w:r>
      <w:r>
        <w:rPr>
          <w:rStyle w:val="CharStyle14"/>
          <w:b/>
          <w:bCs/>
        </w:rPr>
        <w:t>Kupující</w:t>
      </w:r>
      <w:r>
        <w:rPr>
          <w:rStyle w:val="CharStyle14"/>
        </w:rPr>
        <w:t>“</w:t>
      </w:r>
    </w:p>
    <w:p>
      <w:pPr>
        <w:widowControl w:val="0"/>
        <w:spacing w:after="279" w:line="1" w:lineRule="exact"/>
      </w:pPr>
    </w:p>
    <w:p>
      <w:pPr>
        <w:pStyle w:val="Style2"/>
        <w:keepNext/>
        <w:keepLines/>
        <w:widowControl w:val="0"/>
        <w:numPr>
          <w:ilvl w:val="1"/>
          <w:numId w:val="1"/>
        </w:numPr>
        <w:shd w:val="clear" w:color="auto" w:fill="auto"/>
        <w:tabs>
          <w:tab w:pos="498" w:val="left"/>
        </w:tabs>
        <w:bidi w:val="0"/>
        <w:spacing w:before="0" w:after="0" w:line="240" w:lineRule="auto"/>
        <w:ind w:left="0" w:right="0" w:firstLine="0"/>
        <w:jc w:val="both"/>
      </w:pPr>
      <w:bookmarkStart w:id="2" w:name="bookmark2"/>
      <w:r>
        <w:rPr>
          <w:rStyle w:val="CharStyle3"/>
          <w:b/>
          <w:bCs/>
        </w:rPr>
        <w:t>Prodávající:</w:t>
      </w:r>
      <w:bookmarkEnd w:id="2"/>
    </w:p>
    <w:p>
      <w:pPr>
        <w:pStyle w:val="Style2"/>
        <w:keepNext/>
        <w:keepLines/>
        <w:widowControl w:val="0"/>
        <w:shd w:val="clear" w:color="auto" w:fill="auto"/>
        <w:tabs>
          <w:tab w:pos="2118" w:val="left"/>
        </w:tabs>
        <w:bidi w:val="0"/>
        <w:spacing w:before="0" w:after="0" w:line="240" w:lineRule="auto"/>
        <w:ind w:left="0" w:right="0" w:firstLine="0"/>
        <w:jc w:val="both"/>
      </w:pPr>
      <w:r>
        <w:rPr>
          <w:rStyle w:val="CharStyle3"/>
        </w:rPr>
        <w:t>Název:</w:t>
        <w:tab/>
      </w:r>
      <w:r>
        <w:rPr>
          <w:rStyle w:val="CharStyle3"/>
          <w:b/>
          <w:bCs/>
        </w:rPr>
        <w:t>ALUXXON – TABULE s.r.o.</w:t>
      </w:r>
    </w:p>
    <w:p>
      <w:pPr>
        <w:pStyle w:val="Style10"/>
        <w:keepNext w:val="0"/>
        <w:keepLines w:val="0"/>
        <w:widowControl w:val="0"/>
        <w:shd w:val="clear" w:color="auto" w:fill="auto"/>
        <w:tabs>
          <w:tab w:pos="2118" w:val="left"/>
          <w:tab w:pos="5026" w:val="center"/>
        </w:tabs>
        <w:bidi w:val="0"/>
        <w:spacing w:before="0" w:after="0" w:line="240" w:lineRule="auto"/>
        <w:ind w:left="0" w:right="0" w:firstLine="0"/>
        <w:jc w:val="both"/>
      </w:pPr>
      <w:r>
        <w:rPr>
          <w:rStyle w:val="CharStyle11"/>
        </w:rPr>
        <w:t>se sídlem:</w:t>
        <w:tab/>
        <w:t>V Parku 1325/4, 276 01</w:t>
        <w:tab/>
        <w:t>Mělník</w:t>
      </w:r>
    </w:p>
    <w:p>
      <w:pPr>
        <w:pStyle w:val="Style10"/>
        <w:keepNext w:val="0"/>
        <w:keepLines w:val="0"/>
        <w:widowControl w:val="0"/>
        <w:shd w:val="clear" w:color="auto" w:fill="auto"/>
        <w:tabs>
          <w:tab w:pos="2118" w:val="left"/>
        </w:tabs>
        <w:bidi w:val="0"/>
        <w:spacing w:before="0" w:after="0" w:line="240" w:lineRule="auto"/>
        <w:ind w:left="0" w:right="0" w:firstLine="0"/>
        <w:jc w:val="both"/>
      </w:pPr>
      <w:r>
        <w:rPr>
          <w:rStyle w:val="CharStyle11"/>
        </w:rPr>
        <w:t>IČO:</w:t>
        <w:tab/>
        <w:t>27151727</w:t>
      </w:r>
    </w:p>
    <w:p>
      <w:pPr>
        <w:pStyle w:val="Style10"/>
        <w:keepNext w:val="0"/>
        <w:keepLines w:val="0"/>
        <w:widowControl w:val="0"/>
        <w:shd w:val="clear" w:color="auto" w:fill="auto"/>
        <w:tabs>
          <w:tab w:pos="2118" w:val="left"/>
        </w:tabs>
        <w:bidi w:val="0"/>
        <w:spacing w:before="0" w:after="0" w:line="240" w:lineRule="auto"/>
        <w:ind w:left="0" w:right="0" w:firstLine="0"/>
        <w:jc w:val="both"/>
      </w:pPr>
      <w:r>
        <w:rPr>
          <w:rStyle w:val="CharStyle11"/>
        </w:rPr>
        <w:t>DIČ:</w:t>
        <w:tab/>
        <w:t>CZ27151727</w:t>
      </w:r>
    </w:p>
    <w:p>
      <w:pPr>
        <w:pStyle w:val="Style10"/>
        <w:keepNext w:val="0"/>
        <w:keepLines w:val="0"/>
        <w:widowControl w:val="0"/>
        <w:shd w:val="clear" w:color="auto" w:fill="auto"/>
        <w:bidi w:val="0"/>
        <w:spacing w:before="0" w:after="0" w:line="240" w:lineRule="auto"/>
        <w:ind w:left="0" w:right="0" w:firstLine="0"/>
        <w:jc w:val="both"/>
      </w:pPr>
      <w:r>
        <w:rPr>
          <w:rStyle w:val="CharStyle11"/>
        </w:rPr>
        <w:t>ID datové schránky: 6dmk39h</w:t>
      </w:r>
    </w:p>
    <w:p>
      <w:pPr>
        <w:pStyle w:val="Style10"/>
        <w:keepNext w:val="0"/>
        <w:keepLines w:val="0"/>
        <w:widowControl w:val="0"/>
        <w:shd w:val="clear" w:color="auto" w:fill="auto"/>
        <w:tabs>
          <w:tab w:pos="2118" w:val="left"/>
        </w:tabs>
        <w:bidi w:val="0"/>
        <w:spacing w:before="0" w:after="0" w:line="240" w:lineRule="auto"/>
        <w:ind w:left="0" w:right="0" w:firstLine="0"/>
        <w:jc w:val="both"/>
      </w:pPr>
      <w:r>
        <w:rPr>
          <w:rStyle w:val="CharStyle11"/>
        </w:rPr>
        <w:t>zastoupená:</w:t>
        <w:tab/>
        <w:t>Janem Rubáem, jednatelem společnosti</w:t>
      </w:r>
    </w:p>
    <w:p>
      <w:pPr>
        <w:pStyle w:val="Style10"/>
        <w:keepNext w:val="0"/>
        <w:keepLines w:val="0"/>
        <w:widowControl w:val="0"/>
        <w:shd w:val="clear" w:color="auto" w:fill="auto"/>
        <w:bidi w:val="0"/>
        <w:spacing w:before="0" w:line="240" w:lineRule="auto"/>
        <w:ind w:left="0" w:right="0" w:firstLine="0"/>
        <w:jc w:val="both"/>
      </w:pPr>
      <w:r>
        <w:rPr>
          <w:rStyle w:val="CharStyle11"/>
        </w:rPr>
        <w:t>(dále jen jako „</w:t>
      </w:r>
      <w:r>
        <w:rPr>
          <w:rStyle w:val="CharStyle11"/>
          <w:b/>
          <w:bCs/>
        </w:rPr>
        <w:t>Prodávající</w:t>
      </w:r>
      <w:r>
        <w:rPr>
          <w:rStyle w:val="CharStyle11"/>
        </w:rPr>
        <w:t>“)</w:t>
      </w:r>
    </w:p>
    <w:p>
      <w:pPr>
        <w:pStyle w:val="Style10"/>
        <w:keepNext w:val="0"/>
        <w:keepLines w:val="0"/>
        <w:widowControl w:val="0"/>
        <w:shd w:val="clear" w:color="auto" w:fill="auto"/>
        <w:bidi w:val="0"/>
        <w:spacing w:before="0" w:line="240" w:lineRule="auto"/>
        <w:ind w:left="0" w:right="0" w:firstLine="0"/>
        <w:jc w:val="both"/>
      </w:pPr>
      <w:r>
        <w:rPr>
          <w:rStyle w:val="CharStyle11"/>
        </w:rPr>
        <w:t>(kupující a prodávající společně dále též „</w:t>
      </w:r>
      <w:r>
        <w:rPr>
          <w:rStyle w:val="CharStyle11"/>
          <w:b/>
          <w:bCs/>
        </w:rPr>
        <w:t>Smluvní strany</w:t>
      </w:r>
      <w:r>
        <w:rPr>
          <w:rStyle w:val="CharStyle11"/>
        </w:rPr>
        <w:t>“ nebo každý jednotlivě jako „</w:t>
      </w:r>
      <w:r>
        <w:rPr>
          <w:rStyle w:val="CharStyle11"/>
          <w:b/>
          <w:bCs/>
        </w:rPr>
        <w:t>Smluvní strana</w:t>
      </w:r>
      <w:r>
        <w:rPr>
          <w:rStyle w:val="CharStyle11"/>
        </w:rPr>
        <w:t>“)</w:t>
      </w:r>
    </w:p>
    <w:p>
      <w:pPr>
        <w:pStyle w:val="Style2"/>
        <w:keepNext/>
        <w:keepLines/>
        <w:widowControl w:val="0"/>
        <w:numPr>
          <w:ilvl w:val="0"/>
          <w:numId w:val="1"/>
        </w:numPr>
        <w:shd w:val="clear" w:color="auto" w:fill="auto"/>
        <w:tabs>
          <w:tab w:pos="562" w:val="left"/>
        </w:tabs>
        <w:bidi w:val="0"/>
        <w:spacing w:before="0" w:line="240" w:lineRule="auto"/>
        <w:ind w:left="0" w:right="0" w:firstLine="0"/>
        <w:jc w:val="both"/>
      </w:pPr>
      <w:bookmarkStart w:id="5" w:name="bookmark5"/>
      <w:r>
        <w:rPr>
          <w:rStyle w:val="CharStyle3"/>
          <w:b/>
          <w:bCs/>
        </w:rPr>
        <w:t>PŘEDMĚT SMLOUVY</w:t>
      </w:r>
      <w:bookmarkEnd w:id="5"/>
    </w:p>
    <w:p>
      <w:pPr>
        <w:pStyle w:val="Style10"/>
        <w:keepNext w:val="0"/>
        <w:keepLines w:val="0"/>
        <w:widowControl w:val="0"/>
        <w:numPr>
          <w:ilvl w:val="1"/>
          <w:numId w:val="1"/>
        </w:numPr>
        <w:shd w:val="clear" w:color="auto" w:fill="auto"/>
        <w:tabs>
          <w:tab w:pos="562" w:val="left"/>
        </w:tabs>
        <w:bidi w:val="0"/>
        <w:spacing w:before="0" w:line="240" w:lineRule="auto"/>
        <w:ind w:left="560" w:right="0" w:hanging="560"/>
        <w:jc w:val="both"/>
      </w:pPr>
      <w:r>
        <w:rPr>
          <w:rStyle w:val="CharStyle11"/>
        </w:rPr>
        <w:t>Podkladem pro uzavření Smlouvy je nabídka Prodávajícího ze dne 4.12.2024 (dále jen „</w:t>
      </w:r>
      <w:r>
        <w:rPr>
          <w:rStyle w:val="CharStyle11"/>
          <w:b/>
          <w:bCs/>
        </w:rPr>
        <w:t>nabídka</w:t>
      </w:r>
      <w:r>
        <w:rPr>
          <w:rStyle w:val="CharStyle11"/>
        </w:rPr>
        <w:t xml:space="preserve">“) podaná ve veřejné zakázce nazvané </w:t>
      </w:r>
      <w:r>
        <w:rPr>
          <w:rStyle w:val="CharStyle11"/>
          <w:b/>
          <w:bCs/>
        </w:rPr>
        <w:t xml:space="preserve">„Dodávka školního nábytku“ </w:t>
      </w:r>
      <w:r>
        <w:rPr>
          <w:rStyle w:val="CharStyle11"/>
        </w:rPr>
        <w:t>(dále jen „</w:t>
      </w:r>
      <w:r>
        <w:rPr>
          <w:rStyle w:val="CharStyle11"/>
          <w:b/>
          <w:bCs/>
        </w:rPr>
        <w:t>VZ</w:t>
      </w:r>
      <w:r>
        <w:rPr>
          <w:rStyle w:val="CharStyle11"/>
        </w:rPr>
        <w:t>“), zadávané Kupujícím v souladu s ustanovením § 31 zákona č. 134/2016 Sb., o zadávání veřejných zakázek, ve znění pozdějších předpisů (dále jen „</w:t>
      </w:r>
      <w:r>
        <w:rPr>
          <w:rStyle w:val="CharStyle11"/>
          <w:b/>
          <w:bCs/>
        </w:rPr>
        <w:t>ZZVZ</w:t>
      </w:r>
      <w:r>
        <w:rPr>
          <w:rStyle w:val="CharStyle11"/>
        </w:rPr>
        <w:t>“).</w:t>
      </w:r>
    </w:p>
    <w:p>
      <w:pPr>
        <w:pStyle w:val="Style10"/>
        <w:keepNext w:val="0"/>
        <w:keepLines w:val="0"/>
        <w:widowControl w:val="0"/>
        <w:numPr>
          <w:ilvl w:val="1"/>
          <w:numId w:val="1"/>
        </w:numPr>
        <w:shd w:val="clear" w:color="auto" w:fill="auto"/>
        <w:tabs>
          <w:tab w:pos="562" w:val="left"/>
        </w:tabs>
        <w:bidi w:val="0"/>
        <w:spacing w:before="0" w:line="240" w:lineRule="auto"/>
        <w:ind w:left="560" w:right="0" w:hanging="560"/>
        <w:jc w:val="both"/>
      </w:pPr>
      <w:r>
        <w:rPr>
          <w:rStyle w:val="CharStyle11"/>
        </w:rPr>
        <w:t>Smlouvou se Prodávající zavazuje dodat Kupujícímu zboží a provést činnosti vymezené v čl. 3 této Smlouvy a převést na něj vlastnické právo k dodanému zboží, a to za podmínek vymezených Smlouvou.</w:t>
      </w:r>
    </w:p>
    <w:p>
      <w:pPr>
        <w:pStyle w:val="Style10"/>
        <w:keepNext w:val="0"/>
        <w:keepLines w:val="0"/>
        <w:widowControl w:val="0"/>
        <w:numPr>
          <w:ilvl w:val="1"/>
          <w:numId w:val="1"/>
        </w:numPr>
        <w:shd w:val="clear" w:color="auto" w:fill="auto"/>
        <w:tabs>
          <w:tab w:pos="562" w:val="left"/>
        </w:tabs>
        <w:bidi w:val="0"/>
        <w:spacing w:before="0" w:line="233" w:lineRule="auto"/>
        <w:ind w:left="560" w:right="0" w:hanging="560"/>
        <w:jc w:val="both"/>
      </w:pPr>
      <w:r>
        <w:rPr>
          <w:rStyle w:val="CharStyle11"/>
        </w:rPr>
        <w:t>Kupující se zavazuje zboží převzít a zaplatit za něj sjednanou kupní cenu způsobem a v termínu stanoveném Smlouvou.</w:t>
      </w:r>
    </w:p>
    <w:p>
      <w:pPr>
        <w:pStyle w:val="Style2"/>
        <w:keepNext/>
        <w:keepLines/>
        <w:widowControl w:val="0"/>
        <w:numPr>
          <w:ilvl w:val="0"/>
          <w:numId w:val="1"/>
        </w:numPr>
        <w:shd w:val="clear" w:color="auto" w:fill="auto"/>
        <w:tabs>
          <w:tab w:pos="562" w:val="left"/>
        </w:tabs>
        <w:bidi w:val="0"/>
        <w:spacing w:before="0" w:line="240" w:lineRule="auto"/>
        <w:ind w:left="0" w:right="0" w:firstLine="0"/>
        <w:jc w:val="left"/>
      </w:pPr>
      <w:bookmarkStart w:id="7" w:name="bookmark7"/>
      <w:r>
        <w:rPr>
          <w:rStyle w:val="CharStyle3"/>
          <w:b/>
          <w:bCs/>
        </w:rPr>
        <w:t>PŘEDMĚT PLNĚNÍ</w:t>
      </w:r>
      <w:bookmarkEnd w:id="7"/>
    </w:p>
    <w:p>
      <w:pPr>
        <w:pStyle w:val="Style10"/>
        <w:keepNext w:val="0"/>
        <w:keepLines w:val="0"/>
        <w:widowControl w:val="0"/>
        <w:numPr>
          <w:ilvl w:val="1"/>
          <w:numId w:val="1"/>
        </w:numPr>
        <w:shd w:val="clear" w:color="auto" w:fill="auto"/>
        <w:tabs>
          <w:tab w:pos="562" w:val="left"/>
        </w:tabs>
        <w:bidi w:val="0"/>
        <w:spacing w:before="0" w:line="233" w:lineRule="auto"/>
        <w:ind w:left="560" w:right="0" w:hanging="560"/>
        <w:jc w:val="both"/>
      </w:pPr>
      <w:r>
        <w:rPr>
          <w:rStyle w:val="CharStyle11"/>
        </w:rPr>
        <w:t>Předmětem této zakázky je dodávka školních lavic, učitelských kateder a židlí pro Zadavatele, a to konkrétně (i) 3 sady po 18 kusů lavic pro žáky pro 1 osobu, (ii) 4 sady po 18 kusů židlí pro žáky – nepolstrované, (iii) 5 kusů učitelských kateder s 1 šuplíkem a (iv) 5 kusů učitelských</w:t>
      </w:r>
    </w:p>
    <w:p>
      <w:pPr>
        <w:pStyle w:val="Style10"/>
        <w:keepNext w:val="0"/>
        <w:keepLines w:val="0"/>
        <w:widowControl w:val="0"/>
        <w:shd w:val="clear" w:color="auto" w:fill="auto"/>
        <w:bidi w:val="0"/>
        <w:spacing w:before="0" w:line="233" w:lineRule="auto"/>
        <w:ind w:left="560" w:right="0" w:firstLine="0"/>
        <w:jc w:val="both"/>
      </w:pPr>
      <w:r>
        <w:rPr>
          <w:rStyle w:val="CharStyle11"/>
        </w:rPr>
        <w:t xml:space="preserve">židlí – polstrované a záruční servisní služby. Předmět plnění je podrobněji specifikován v </w:t>
      </w:r>
      <w:r>
        <w:rPr>
          <w:rStyle w:val="CharStyle11"/>
          <w:u w:val="single"/>
        </w:rPr>
        <w:t>Příloze č. 1</w:t>
      </w:r>
      <w:r>
        <w:rPr>
          <w:rStyle w:val="CharStyle11"/>
        </w:rPr>
        <w:t xml:space="preserve"> této Smlouvy. (dále jen „</w:t>
      </w:r>
      <w:r>
        <w:rPr>
          <w:rStyle w:val="CharStyle11"/>
          <w:b/>
          <w:bCs/>
        </w:rPr>
        <w:t>zboží</w:t>
      </w:r>
      <w:r>
        <w:rPr>
          <w:rStyle w:val="CharStyle11"/>
        </w:rPr>
        <w:t>“ nebo „</w:t>
      </w:r>
      <w:r>
        <w:rPr>
          <w:rStyle w:val="CharStyle11"/>
          <w:b/>
          <w:bCs/>
        </w:rPr>
        <w:t>předmět plnění</w:t>
      </w:r>
      <w:r>
        <w:rPr>
          <w:rStyle w:val="CharStyle11"/>
        </w:rPr>
        <w:t>“).</w:t>
      </w:r>
    </w:p>
    <w:p>
      <w:pPr>
        <w:pStyle w:val="Style10"/>
        <w:keepNext w:val="0"/>
        <w:keepLines w:val="0"/>
        <w:widowControl w:val="0"/>
        <w:numPr>
          <w:ilvl w:val="1"/>
          <w:numId w:val="1"/>
        </w:numPr>
        <w:shd w:val="clear" w:color="auto" w:fill="auto"/>
        <w:tabs>
          <w:tab w:pos="551" w:val="left"/>
        </w:tabs>
        <w:bidi w:val="0"/>
        <w:spacing w:before="0" w:after="320" w:line="240" w:lineRule="auto"/>
        <w:ind w:left="560" w:right="0" w:hanging="560"/>
        <w:jc w:val="both"/>
      </w:pPr>
      <w:r>
        <w:rPr>
          <w:rStyle w:val="CharStyle11"/>
        </w:rPr>
        <w:t>Součástí dodávky zboží bude provozně technická dokumentace v českém jazyce a potřebné certifikáty. Prodávající prohlašuje, že předmět plnění splňuje veškeré podmínky stanovené právními předpisy k používání předmětu plnění, a že Kupujícímu předal veškeré doklady potřebné k provozování předmětu plnění, za což Kupujícímu odpovídá.</w:t>
      </w:r>
    </w:p>
    <w:p>
      <w:pPr>
        <w:pStyle w:val="Style10"/>
        <w:keepNext w:val="0"/>
        <w:keepLines w:val="0"/>
        <w:widowControl w:val="0"/>
        <w:numPr>
          <w:ilvl w:val="1"/>
          <w:numId w:val="1"/>
        </w:numPr>
        <w:shd w:val="clear" w:color="auto" w:fill="auto"/>
        <w:tabs>
          <w:tab w:pos="551" w:val="left"/>
        </w:tabs>
        <w:bidi w:val="0"/>
        <w:spacing w:before="0" w:line="240" w:lineRule="auto"/>
        <w:ind w:left="560" w:right="0" w:hanging="560"/>
        <w:jc w:val="both"/>
      </w:pPr>
      <w:r>
        <w:rPr>
          <w:rStyle w:val="CharStyle11"/>
        </w:rPr>
        <w:t xml:space="preserve">Dále předmět plnění zahrnuje dopravu a umístění dodávaného zboží do 3 učeben ve 4. patře Gymnázia dle instrukcí Kupujícího, demontáž, odvoz a likvidace starých lavic, židlí a kateder a bezplatný servis po dobu celé záruční doby v rozsahu stanoveném výrobcem, včetně oprav a dodávky náhradních dílů, to vše v rozsahu určeném v </w:t>
      </w:r>
      <w:r>
        <w:rPr>
          <w:rStyle w:val="CharStyle11"/>
          <w:u w:val="single"/>
        </w:rPr>
        <w:t>Příloze č. 1</w:t>
      </w:r>
      <w:r>
        <w:rPr>
          <w:rStyle w:val="CharStyle11"/>
        </w:rPr>
        <w:t xml:space="preserve"> této Smlouvy.</w:t>
      </w:r>
    </w:p>
    <w:p>
      <w:pPr>
        <w:pStyle w:val="Style10"/>
        <w:keepNext w:val="0"/>
        <w:keepLines w:val="0"/>
        <w:widowControl w:val="0"/>
        <w:numPr>
          <w:ilvl w:val="0"/>
          <w:numId w:val="1"/>
        </w:numPr>
        <w:shd w:val="clear" w:color="auto" w:fill="auto"/>
        <w:tabs>
          <w:tab w:pos="551" w:val="left"/>
        </w:tabs>
        <w:bidi w:val="0"/>
        <w:spacing w:before="0" w:line="240" w:lineRule="auto"/>
        <w:ind w:left="0" w:right="0" w:firstLine="0"/>
        <w:jc w:val="both"/>
      </w:pPr>
      <w:r>
        <w:rPr>
          <w:rStyle w:val="CharStyle11"/>
          <w:b/>
          <w:bCs/>
        </w:rPr>
        <w:t>KUPNÍ CENA A PLATEBNÍ PODMÍNKY</w:t>
      </w:r>
    </w:p>
    <w:p>
      <w:pPr>
        <w:pStyle w:val="Style10"/>
        <w:keepNext w:val="0"/>
        <w:keepLines w:val="0"/>
        <w:widowControl w:val="0"/>
        <w:numPr>
          <w:ilvl w:val="1"/>
          <w:numId w:val="1"/>
        </w:numPr>
        <w:shd w:val="clear" w:color="auto" w:fill="auto"/>
        <w:tabs>
          <w:tab w:pos="551" w:val="left"/>
        </w:tabs>
        <w:bidi w:val="0"/>
        <w:spacing w:before="0" w:after="0" w:line="240" w:lineRule="auto"/>
        <w:ind w:left="0" w:right="0" w:firstLine="0"/>
        <w:jc w:val="both"/>
      </w:pPr>
      <w:r>
        <w:rPr>
          <w:rStyle w:val="CharStyle11"/>
          <w:b/>
          <w:bCs/>
        </w:rPr>
        <w:t>Celková cena za dodání a provedení předmětu plnění bez DPH činí 397 850,- Kč.</w:t>
      </w:r>
    </w:p>
    <w:p>
      <w:pPr>
        <w:pStyle w:val="Style10"/>
        <w:keepNext w:val="0"/>
        <w:keepLines w:val="0"/>
        <w:widowControl w:val="0"/>
        <w:shd w:val="clear" w:color="auto" w:fill="auto"/>
        <w:bidi w:val="0"/>
        <w:spacing w:before="0" w:after="0" w:line="240" w:lineRule="auto"/>
        <w:ind w:left="0" w:right="0" w:firstLine="560"/>
        <w:jc w:val="both"/>
      </w:pPr>
      <w:r>
        <w:rPr>
          <w:rStyle w:val="CharStyle11"/>
          <w:b/>
          <w:bCs/>
        </w:rPr>
        <w:t>DPH ve výši 21 % činí 83 548,50,- Kč.</w:t>
      </w:r>
    </w:p>
    <w:p>
      <w:pPr>
        <w:pStyle w:val="Style10"/>
        <w:keepNext w:val="0"/>
        <w:keepLines w:val="0"/>
        <w:widowControl w:val="0"/>
        <w:shd w:val="clear" w:color="auto" w:fill="auto"/>
        <w:bidi w:val="0"/>
        <w:spacing w:before="0" w:line="240" w:lineRule="auto"/>
        <w:ind w:left="0" w:right="0" w:firstLine="560"/>
        <w:jc w:val="both"/>
      </w:pPr>
      <w:r>
        <w:rPr>
          <w:rStyle w:val="CharStyle11"/>
          <w:b/>
          <w:bCs/>
        </w:rPr>
        <w:t>Celková cena za dodání a provedení předmětu plnění včetně DPH 481 398,50,- Kč.</w:t>
      </w:r>
    </w:p>
    <w:p>
      <w:pPr>
        <w:pStyle w:val="Style10"/>
        <w:keepNext w:val="0"/>
        <w:keepLines w:val="0"/>
        <w:widowControl w:val="0"/>
        <w:numPr>
          <w:ilvl w:val="1"/>
          <w:numId w:val="1"/>
        </w:numPr>
        <w:shd w:val="clear" w:color="auto" w:fill="auto"/>
        <w:tabs>
          <w:tab w:pos="551" w:val="left"/>
        </w:tabs>
        <w:bidi w:val="0"/>
        <w:spacing w:before="0" w:line="233" w:lineRule="auto"/>
        <w:ind w:left="560" w:right="0" w:hanging="560"/>
        <w:jc w:val="both"/>
      </w:pPr>
      <w:r>
        <w:rPr>
          <w:rStyle w:val="CharStyle11"/>
        </w:rPr>
        <w:t xml:space="preserve">Kupní cena je stanovena jako nejvýše přípustná a konečná a zahrnuje celý předmět plnění, jak je vymezen v čl. 3 a </w:t>
      </w:r>
      <w:r>
        <w:rPr>
          <w:rStyle w:val="CharStyle11"/>
          <w:u w:val="single"/>
        </w:rPr>
        <w:t>Příloze č. 1</w:t>
      </w:r>
      <w:r>
        <w:rPr>
          <w:rStyle w:val="CharStyle11"/>
        </w:rPr>
        <w:t xml:space="preserve"> této Smlouvy.</w:t>
      </w:r>
    </w:p>
    <w:p>
      <w:pPr>
        <w:pStyle w:val="Style10"/>
        <w:keepNext w:val="0"/>
        <w:keepLines w:val="0"/>
        <w:widowControl w:val="0"/>
        <w:numPr>
          <w:ilvl w:val="1"/>
          <w:numId w:val="1"/>
        </w:numPr>
        <w:shd w:val="clear" w:color="auto" w:fill="auto"/>
        <w:tabs>
          <w:tab w:pos="551" w:val="left"/>
        </w:tabs>
        <w:bidi w:val="0"/>
        <w:spacing w:before="0" w:line="233" w:lineRule="auto"/>
        <w:ind w:left="560" w:right="0" w:hanging="560"/>
        <w:jc w:val="both"/>
      </w:pPr>
      <w:r>
        <w:rPr>
          <w:rStyle w:val="CharStyle11"/>
        </w:rPr>
        <w:t>V kupní ceně jsou zahrnuty veškeré náklady Prodávajícího nezbytné pro řádné a včasné splnění celého předmětu smlouvy, a to zejména clo, doprava do místa určení, montáž, likvidace odpadu a obalů, potřebné doklady ke zboží a záruční servis.</w:t>
      </w:r>
    </w:p>
    <w:p>
      <w:pPr>
        <w:pStyle w:val="Style10"/>
        <w:keepNext w:val="0"/>
        <w:keepLines w:val="0"/>
        <w:widowControl w:val="0"/>
        <w:numPr>
          <w:ilvl w:val="1"/>
          <w:numId w:val="1"/>
        </w:numPr>
        <w:shd w:val="clear" w:color="auto" w:fill="auto"/>
        <w:tabs>
          <w:tab w:pos="551" w:val="left"/>
        </w:tabs>
        <w:bidi w:val="0"/>
        <w:spacing w:before="0" w:line="240" w:lineRule="auto"/>
        <w:ind w:left="560" w:right="0" w:hanging="560"/>
        <w:jc w:val="both"/>
      </w:pPr>
      <w:r>
        <w:rPr>
          <w:rStyle w:val="CharStyle11"/>
        </w:rPr>
        <w:t>Kupující se zavazuje zaplatit kupní cenu na základě daňového dokladu (dále jen „</w:t>
      </w:r>
      <w:r>
        <w:rPr>
          <w:rStyle w:val="CharStyle11"/>
          <w:b/>
          <w:bCs/>
        </w:rPr>
        <w:t>faktura</w:t>
      </w:r>
      <w:r>
        <w:rPr>
          <w:rStyle w:val="CharStyle11"/>
        </w:rPr>
        <w:t xml:space="preserve">“), vystaveného a doručeného Prodávajícím Kupujícímu po vyhotovení zápisu o předání a převzetí zboží dle čl. 5.4 a 5.5 Smlouvy, a to se splatností 30 dnů od doručení faktury Kupujícímu. Faktura bude odeslána do (i) datové schránky Kupujícího, nebo (ii) doručena Kupujícímu v písemné formě na emailovou adresu </w:t>
      </w:r>
      <w:r>
        <w:fldChar w:fldCharType="begin"/>
      </w:r>
      <w:r>
        <w:rPr/>
        <w:instrText> HYPERLINK "mailto:skorpikova@zatlanka.cz" </w:instrText>
      </w:r>
      <w:r>
        <w:fldChar w:fldCharType="separate"/>
      </w:r>
      <w:r>
        <w:rPr>
          <w:rStyle w:val="CharStyle11"/>
          <w:color w:val="0000FF"/>
          <w:u w:val="single"/>
        </w:rPr>
        <w:t>skorpikova@zatlanka.cz</w:t>
      </w:r>
      <w:r>
        <w:fldChar w:fldCharType="end"/>
      </w:r>
      <w:r>
        <w:rPr>
          <w:rStyle w:val="CharStyle11"/>
        </w:rPr>
        <w:t>, (iii) nebo doručena Kupujícímu na adresu: Na Zatlance 11, 150 00 Praha 5.</w:t>
      </w:r>
    </w:p>
    <w:p>
      <w:pPr>
        <w:pStyle w:val="Style10"/>
        <w:keepNext w:val="0"/>
        <w:keepLines w:val="0"/>
        <w:widowControl w:val="0"/>
        <w:numPr>
          <w:ilvl w:val="1"/>
          <w:numId w:val="1"/>
        </w:numPr>
        <w:shd w:val="clear" w:color="auto" w:fill="auto"/>
        <w:tabs>
          <w:tab w:pos="551" w:val="left"/>
        </w:tabs>
        <w:bidi w:val="0"/>
        <w:spacing w:before="0" w:line="233" w:lineRule="auto"/>
        <w:ind w:left="560" w:right="0" w:hanging="560"/>
        <w:jc w:val="both"/>
      </w:pPr>
      <w:r>
        <w:rPr>
          <w:rStyle w:val="CharStyle11"/>
        </w:rPr>
        <w:t>Prodávající se Smlouvou zavazuje, že jím vystavená faktura bude obsahovat všechny náležitosti řádného daňového dokladu dle příslušných právních předpisů.</w:t>
      </w:r>
    </w:p>
    <w:p>
      <w:pPr>
        <w:pStyle w:val="Style10"/>
        <w:keepNext w:val="0"/>
        <w:keepLines w:val="0"/>
        <w:widowControl w:val="0"/>
        <w:numPr>
          <w:ilvl w:val="1"/>
          <w:numId w:val="1"/>
        </w:numPr>
        <w:shd w:val="clear" w:color="auto" w:fill="auto"/>
        <w:tabs>
          <w:tab w:pos="551" w:val="left"/>
        </w:tabs>
        <w:bidi w:val="0"/>
        <w:spacing w:before="0" w:line="240" w:lineRule="auto"/>
        <w:ind w:left="560" w:right="0" w:hanging="560"/>
        <w:jc w:val="both"/>
      </w:pPr>
      <w:r>
        <w:rPr>
          <w:rStyle w:val="CharStyle11"/>
        </w:rPr>
        <w:t>V případě, že faktura nebude mít odpovídající náležitosti, je Kupující oprávněn zaslat ji v době splatnosti zpět Prodávajícímu k doplnění, aniž se tak dostane do prodlení se splatností. Důvody vrácení sdělí Kupující Prodávajícímu písemně zároveň s vrácenou fakturou. V závislosti na povaze závady je Prodávající povinen fakturu, včetně jejích příloh, opravit nebo vyhotovit novou. Doba splatnosti počíná běžet znovu od opětovného doručení náležitě doplněné či opravené faktury.</w:t>
      </w:r>
    </w:p>
    <w:p>
      <w:pPr>
        <w:pStyle w:val="Style10"/>
        <w:keepNext w:val="0"/>
        <w:keepLines w:val="0"/>
        <w:widowControl w:val="0"/>
        <w:numPr>
          <w:ilvl w:val="1"/>
          <w:numId w:val="1"/>
        </w:numPr>
        <w:shd w:val="clear" w:color="auto" w:fill="auto"/>
        <w:tabs>
          <w:tab w:pos="551" w:val="left"/>
        </w:tabs>
        <w:bidi w:val="0"/>
        <w:spacing w:before="0" w:line="240" w:lineRule="auto"/>
        <w:ind w:left="560" w:right="0" w:hanging="560"/>
        <w:jc w:val="both"/>
      </w:pPr>
      <w:r>
        <w:rPr>
          <w:rStyle w:val="CharStyle11"/>
        </w:rPr>
        <w:t>Přílohu vydané faktury tvoří dodací list a kopie zápisu o předání a převzetí zboží dle čl. 5.4 a 5.5 této Smlouvy.</w:t>
      </w:r>
    </w:p>
    <w:p>
      <w:pPr>
        <w:pStyle w:val="Style10"/>
        <w:keepNext w:val="0"/>
        <w:keepLines w:val="0"/>
        <w:widowControl w:val="0"/>
        <w:numPr>
          <w:ilvl w:val="1"/>
          <w:numId w:val="1"/>
        </w:numPr>
        <w:shd w:val="clear" w:color="auto" w:fill="auto"/>
        <w:tabs>
          <w:tab w:pos="551" w:val="left"/>
        </w:tabs>
        <w:bidi w:val="0"/>
        <w:spacing w:before="0" w:line="240" w:lineRule="auto"/>
        <w:ind w:left="0" w:right="0" w:firstLine="0"/>
        <w:jc w:val="both"/>
      </w:pPr>
      <w:r>
        <w:rPr>
          <w:rStyle w:val="CharStyle11"/>
        </w:rPr>
        <w:t>Kupující nebude poskytovat Prodávajícímu zálohu.</w:t>
      </w:r>
    </w:p>
    <w:p>
      <w:pPr>
        <w:pStyle w:val="Style10"/>
        <w:keepNext w:val="0"/>
        <w:keepLines w:val="0"/>
        <w:widowControl w:val="0"/>
        <w:numPr>
          <w:ilvl w:val="1"/>
          <w:numId w:val="1"/>
        </w:numPr>
        <w:shd w:val="clear" w:color="auto" w:fill="auto"/>
        <w:tabs>
          <w:tab w:pos="560" w:val="left"/>
        </w:tabs>
        <w:bidi w:val="0"/>
        <w:spacing w:before="0" w:line="240" w:lineRule="auto"/>
        <w:ind w:left="560" w:right="0" w:hanging="560"/>
        <w:jc w:val="both"/>
      </w:pPr>
      <w:r>
        <w:rPr>
          <w:rStyle w:val="CharStyle11"/>
        </w:rPr>
        <w:t>V souladu s nařízením Evropského parlamentu a Rady EU 2016/679 ze dne 27. dubna 2016 o ochraně fyzických osob v souvislosti se zpracováním osobních údajů a o volném pohybu těchto údajů a o zrušení směrnice 95/46/ES (GDPR) a taktéž v souladu s příslušným nařízením ředitele Magistrátu hl. m. Prahy k zajištění povinnosti uveřejňovat smlouvy prostřednictvím registru smluv nesmí faktura v rozsahu a předmětu plnění obsahovat osobní údaje fyzických osob jako například jméno a příjmení fyzické osoby, datum narození, číslo jejího bankovního účtu a její kontaktní údaje (telefon, e-mail), DIČ fyzické osoby podnikající. V případě, že tyto osobní údaje budou v rozsahu a předmětu plnění faktury uvedeny, musí být následně tyto údaje při zveřejňování informací pro občany v systému otevřených dat a v registru smluv anonymizovány</w:t>
      </w:r>
    </w:p>
    <w:p>
      <w:pPr>
        <w:pStyle w:val="Style2"/>
        <w:keepNext/>
        <w:keepLines/>
        <w:widowControl w:val="0"/>
        <w:numPr>
          <w:ilvl w:val="0"/>
          <w:numId w:val="1"/>
        </w:numPr>
        <w:shd w:val="clear" w:color="auto" w:fill="auto"/>
        <w:tabs>
          <w:tab w:pos="560" w:val="left"/>
        </w:tabs>
        <w:bidi w:val="0"/>
        <w:spacing w:before="0" w:line="240" w:lineRule="auto"/>
        <w:ind w:left="0" w:right="0" w:firstLine="0"/>
        <w:jc w:val="both"/>
      </w:pPr>
      <w:bookmarkStart w:id="9" w:name="bookmark9"/>
      <w:r>
        <w:rPr>
          <w:rStyle w:val="CharStyle3"/>
          <w:b/>
          <w:bCs/>
        </w:rPr>
        <w:t>MÍSTO A DOBA PLNĚNÍ A DODACÍ PODMÍNKY</w:t>
      </w:r>
      <w:bookmarkEnd w:id="9"/>
    </w:p>
    <w:p>
      <w:pPr>
        <w:pStyle w:val="Style10"/>
        <w:keepNext w:val="0"/>
        <w:keepLines w:val="0"/>
        <w:widowControl w:val="0"/>
        <w:numPr>
          <w:ilvl w:val="1"/>
          <w:numId w:val="1"/>
        </w:numPr>
        <w:shd w:val="clear" w:color="auto" w:fill="auto"/>
        <w:tabs>
          <w:tab w:pos="560" w:val="left"/>
        </w:tabs>
        <w:bidi w:val="0"/>
        <w:spacing w:before="0" w:line="240" w:lineRule="auto"/>
        <w:ind w:left="0" w:right="0" w:firstLine="0"/>
        <w:jc w:val="both"/>
      </w:pPr>
      <w:r>
        <w:rPr>
          <w:rStyle w:val="CharStyle11"/>
        </w:rPr>
        <w:t>Místem plnění je budova Kupujícího na adrese: Gymnázium Na Zatlance 11, 150 00 Praha 5.</w:t>
      </w:r>
    </w:p>
    <w:p>
      <w:pPr>
        <w:pStyle w:val="Style10"/>
        <w:keepNext w:val="0"/>
        <w:keepLines w:val="0"/>
        <w:widowControl w:val="0"/>
        <w:numPr>
          <w:ilvl w:val="1"/>
          <w:numId w:val="1"/>
        </w:numPr>
        <w:shd w:val="clear" w:color="auto" w:fill="auto"/>
        <w:tabs>
          <w:tab w:pos="560" w:val="left"/>
        </w:tabs>
        <w:bidi w:val="0"/>
        <w:spacing w:before="0" w:line="240" w:lineRule="auto"/>
        <w:ind w:left="0" w:right="0" w:firstLine="0"/>
        <w:jc w:val="both"/>
      </w:pPr>
      <w:r>
        <w:rPr>
          <w:rStyle w:val="CharStyle11"/>
        </w:rPr>
        <w:t>Zboží uvedené v čl. 3. Prodávající dodá v následujících termínech:</w:t>
      </w:r>
    </w:p>
    <w:p>
      <w:pPr>
        <w:pStyle w:val="Style10"/>
        <w:keepNext w:val="0"/>
        <w:keepLines w:val="0"/>
        <w:widowControl w:val="0"/>
        <w:numPr>
          <w:ilvl w:val="0"/>
          <w:numId w:val="3"/>
        </w:numPr>
        <w:shd w:val="clear" w:color="auto" w:fill="auto"/>
        <w:tabs>
          <w:tab w:pos="1083" w:val="left"/>
        </w:tabs>
        <w:bidi w:val="0"/>
        <w:spacing w:before="0" w:after="0" w:line="240" w:lineRule="auto"/>
        <w:ind w:left="0" w:right="0" w:firstLine="560"/>
        <w:jc w:val="both"/>
      </w:pPr>
      <w:r>
        <w:rPr>
          <w:rStyle w:val="CharStyle11"/>
        </w:rPr>
        <w:t>Zahájení plnění do 2 měsíců od ukončení výběrového řízení.</w:t>
      </w:r>
    </w:p>
    <w:p>
      <w:pPr>
        <w:pStyle w:val="Style10"/>
        <w:keepNext w:val="0"/>
        <w:keepLines w:val="0"/>
        <w:widowControl w:val="0"/>
        <w:numPr>
          <w:ilvl w:val="0"/>
          <w:numId w:val="3"/>
        </w:numPr>
        <w:shd w:val="clear" w:color="auto" w:fill="auto"/>
        <w:tabs>
          <w:tab w:pos="1142" w:val="left"/>
        </w:tabs>
        <w:bidi w:val="0"/>
        <w:spacing w:before="0" w:line="240" w:lineRule="auto"/>
        <w:ind w:left="1140" w:right="0" w:hanging="560"/>
        <w:jc w:val="both"/>
      </w:pPr>
      <w:r>
        <w:rPr>
          <w:rStyle w:val="CharStyle11"/>
        </w:rPr>
        <w:t xml:space="preserve">Prodávající se zavazuje provést předmět plnění v celém rozsahu stanoveným Smlouvou nejpozději do </w:t>
      </w:r>
      <w:r>
        <w:rPr>
          <w:rStyle w:val="CharStyle11"/>
          <w:b/>
          <w:bCs/>
        </w:rPr>
        <w:t>31.12.2024.</w:t>
      </w:r>
    </w:p>
    <w:p>
      <w:pPr>
        <w:pStyle w:val="Style10"/>
        <w:keepNext w:val="0"/>
        <w:keepLines w:val="0"/>
        <w:widowControl w:val="0"/>
        <w:numPr>
          <w:ilvl w:val="1"/>
          <w:numId w:val="1"/>
        </w:numPr>
        <w:shd w:val="clear" w:color="auto" w:fill="auto"/>
        <w:tabs>
          <w:tab w:pos="560" w:val="left"/>
        </w:tabs>
        <w:bidi w:val="0"/>
        <w:spacing w:before="0" w:after="0" w:line="240" w:lineRule="auto"/>
        <w:ind w:left="0" w:right="0" w:firstLine="0"/>
        <w:jc w:val="both"/>
      </w:pPr>
      <w:r>
        <w:rPr>
          <w:rStyle w:val="CharStyle11"/>
        </w:rPr>
        <w:t>Předmět plnění se považuje podle Smlouvy za splněný, pokud bylo:</w:t>
      </w:r>
    </w:p>
    <w:p>
      <w:pPr>
        <w:pStyle w:val="Style10"/>
        <w:keepNext w:val="0"/>
        <w:keepLines w:val="0"/>
        <w:widowControl w:val="0"/>
        <w:numPr>
          <w:ilvl w:val="0"/>
          <w:numId w:val="5"/>
        </w:numPr>
        <w:shd w:val="clear" w:color="auto" w:fill="auto"/>
        <w:tabs>
          <w:tab w:pos="1083" w:val="left"/>
        </w:tabs>
        <w:bidi w:val="0"/>
        <w:spacing w:before="0" w:after="0" w:line="240" w:lineRule="auto"/>
        <w:ind w:left="0" w:right="0" w:firstLine="560"/>
        <w:jc w:val="both"/>
      </w:pPr>
      <w:r>
        <w:rPr>
          <w:rStyle w:val="CharStyle11"/>
        </w:rPr>
        <w:t>dodáno veškeré zboží a provedeny všechny práce dle čl. 3 Smlouvy,</w:t>
      </w:r>
    </w:p>
    <w:p>
      <w:pPr>
        <w:pStyle w:val="Style10"/>
        <w:keepNext w:val="0"/>
        <w:keepLines w:val="0"/>
        <w:widowControl w:val="0"/>
        <w:numPr>
          <w:ilvl w:val="0"/>
          <w:numId w:val="5"/>
        </w:numPr>
        <w:shd w:val="clear" w:color="auto" w:fill="auto"/>
        <w:tabs>
          <w:tab w:pos="1083" w:val="left"/>
        </w:tabs>
        <w:bidi w:val="0"/>
        <w:spacing w:before="0" w:after="0" w:line="240" w:lineRule="auto"/>
        <w:ind w:left="0" w:right="0" w:firstLine="560"/>
        <w:jc w:val="both"/>
      </w:pPr>
      <w:r>
        <w:rPr>
          <w:rStyle w:val="CharStyle11"/>
        </w:rPr>
        <w:t>veškeré zboží řádně předáno včetně příslušné dokumentace,</w:t>
      </w:r>
    </w:p>
    <w:p>
      <w:pPr>
        <w:pStyle w:val="Style10"/>
        <w:keepNext w:val="0"/>
        <w:keepLines w:val="0"/>
        <w:widowControl w:val="0"/>
        <w:numPr>
          <w:ilvl w:val="0"/>
          <w:numId w:val="5"/>
        </w:numPr>
        <w:shd w:val="clear" w:color="auto" w:fill="auto"/>
        <w:tabs>
          <w:tab w:pos="1083" w:val="left"/>
        </w:tabs>
        <w:bidi w:val="0"/>
        <w:spacing w:before="0" w:after="0" w:line="240" w:lineRule="auto"/>
        <w:ind w:left="0" w:right="0" w:firstLine="560"/>
        <w:jc w:val="both"/>
      </w:pPr>
      <w:r>
        <w:rPr>
          <w:rStyle w:val="CharStyle11"/>
        </w:rPr>
        <w:t>zboží namontováno,</w:t>
      </w:r>
    </w:p>
    <w:p>
      <w:pPr>
        <w:pStyle w:val="Style10"/>
        <w:keepNext w:val="0"/>
        <w:keepLines w:val="0"/>
        <w:widowControl w:val="0"/>
        <w:numPr>
          <w:ilvl w:val="0"/>
          <w:numId w:val="5"/>
        </w:numPr>
        <w:shd w:val="clear" w:color="auto" w:fill="auto"/>
        <w:tabs>
          <w:tab w:pos="1083" w:val="left"/>
        </w:tabs>
        <w:bidi w:val="0"/>
        <w:spacing w:before="0" w:line="240" w:lineRule="auto"/>
        <w:ind w:left="0" w:right="0" w:firstLine="560"/>
        <w:jc w:val="both"/>
      </w:pPr>
      <w:r>
        <w:rPr>
          <w:rStyle w:val="CharStyle11"/>
        </w:rPr>
        <w:t>protokolárně převzato kupujícím formou zápisu o předání a převzetí.</w:t>
      </w:r>
    </w:p>
    <w:p>
      <w:pPr>
        <w:pStyle w:val="Style10"/>
        <w:keepNext w:val="0"/>
        <w:keepLines w:val="0"/>
        <w:widowControl w:val="0"/>
        <w:shd w:val="clear" w:color="auto" w:fill="auto"/>
        <w:bidi w:val="0"/>
        <w:spacing w:before="0" w:line="240" w:lineRule="auto"/>
        <w:ind w:left="560" w:right="0" w:firstLine="20"/>
        <w:jc w:val="both"/>
      </w:pPr>
      <w:r>
        <w:rPr>
          <w:rStyle w:val="CharStyle11"/>
        </w:rPr>
        <w:t>Ujednání o závazku poskytovat Kupujícímu bezplatný servis po dobu celé záruční doby (čl. 3.3 Smlouvy) tím není dotčeno.</w:t>
      </w:r>
    </w:p>
    <w:p>
      <w:pPr>
        <w:pStyle w:val="Style10"/>
        <w:keepNext w:val="0"/>
        <w:keepLines w:val="0"/>
        <w:widowControl w:val="0"/>
        <w:numPr>
          <w:ilvl w:val="1"/>
          <w:numId w:val="1"/>
        </w:numPr>
        <w:shd w:val="clear" w:color="auto" w:fill="auto"/>
        <w:tabs>
          <w:tab w:pos="560" w:val="left"/>
        </w:tabs>
        <w:bidi w:val="0"/>
        <w:spacing w:before="0" w:after="0" w:line="233" w:lineRule="auto"/>
        <w:ind w:left="560" w:right="0" w:hanging="560"/>
        <w:jc w:val="both"/>
      </w:pPr>
      <w:r>
        <w:rPr>
          <w:rStyle w:val="CharStyle11"/>
        </w:rPr>
        <w:t>Po splnění dodávky zboží bude vyhotoven zápis o předání a převzetí zboží, který bude obsahovat níže uvedené náležitosti:</w:t>
      </w:r>
    </w:p>
    <w:p>
      <w:pPr>
        <w:pStyle w:val="Style10"/>
        <w:keepNext w:val="0"/>
        <w:keepLines w:val="0"/>
        <w:widowControl w:val="0"/>
        <w:numPr>
          <w:ilvl w:val="0"/>
          <w:numId w:val="7"/>
        </w:numPr>
        <w:shd w:val="clear" w:color="auto" w:fill="auto"/>
        <w:tabs>
          <w:tab w:pos="1083" w:val="left"/>
        </w:tabs>
        <w:bidi w:val="0"/>
        <w:spacing w:before="0" w:after="0" w:line="233" w:lineRule="auto"/>
        <w:ind w:left="0" w:right="0" w:firstLine="560"/>
        <w:jc w:val="both"/>
      </w:pPr>
      <w:r>
        <w:rPr>
          <w:rStyle w:val="CharStyle11"/>
        </w:rPr>
        <w:t>označení dodacího listu – zápisu o předání a převzetí zboží,</w:t>
      </w:r>
    </w:p>
    <w:p>
      <w:pPr>
        <w:pStyle w:val="Style10"/>
        <w:keepNext w:val="0"/>
        <w:keepLines w:val="0"/>
        <w:widowControl w:val="0"/>
        <w:numPr>
          <w:ilvl w:val="0"/>
          <w:numId w:val="7"/>
        </w:numPr>
        <w:shd w:val="clear" w:color="auto" w:fill="auto"/>
        <w:tabs>
          <w:tab w:pos="1083" w:val="left"/>
        </w:tabs>
        <w:bidi w:val="0"/>
        <w:spacing w:before="0" w:after="0" w:line="233" w:lineRule="auto"/>
        <w:ind w:left="0" w:right="0" w:firstLine="560"/>
        <w:jc w:val="both"/>
      </w:pPr>
      <w:r>
        <w:rPr>
          <w:rStyle w:val="CharStyle11"/>
        </w:rPr>
        <w:t>název a sídlo Prodávajícího a Kupujícího,</w:t>
      </w:r>
    </w:p>
    <w:p>
      <w:pPr>
        <w:pStyle w:val="Style10"/>
        <w:keepNext w:val="0"/>
        <w:keepLines w:val="0"/>
        <w:widowControl w:val="0"/>
        <w:numPr>
          <w:ilvl w:val="0"/>
          <w:numId w:val="7"/>
        </w:numPr>
        <w:shd w:val="clear" w:color="auto" w:fill="auto"/>
        <w:tabs>
          <w:tab w:pos="1083" w:val="left"/>
        </w:tabs>
        <w:bidi w:val="0"/>
        <w:spacing w:before="0" w:after="0" w:line="233" w:lineRule="auto"/>
        <w:ind w:left="0" w:right="0" w:firstLine="560"/>
        <w:jc w:val="both"/>
      </w:pPr>
      <w:r>
        <w:rPr>
          <w:rStyle w:val="CharStyle11"/>
        </w:rPr>
        <w:t>označení Smlouvy,</w:t>
      </w:r>
    </w:p>
    <w:p>
      <w:pPr>
        <w:pStyle w:val="Style10"/>
        <w:keepNext w:val="0"/>
        <w:keepLines w:val="0"/>
        <w:widowControl w:val="0"/>
        <w:numPr>
          <w:ilvl w:val="0"/>
          <w:numId w:val="7"/>
        </w:numPr>
        <w:shd w:val="clear" w:color="auto" w:fill="auto"/>
        <w:tabs>
          <w:tab w:pos="1083" w:val="left"/>
        </w:tabs>
        <w:bidi w:val="0"/>
        <w:spacing w:before="0" w:after="0" w:line="233" w:lineRule="auto"/>
        <w:ind w:left="0" w:right="0" w:firstLine="560"/>
        <w:jc w:val="both"/>
      </w:pPr>
      <w:r>
        <w:rPr>
          <w:rStyle w:val="CharStyle11"/>
        </w:rPr>
        <w:t>označení dodaného zboží včetně výrobního čísla,</w:t>
      </w:r>
    </w:p>
    <w:p>
      <w:pPr>
        <w:pStyle w:val="Style10"/>
        <w:keepNext w:val="0"/>
        <w:keepLines w:val="0"/>
        <w:widowControl w:val="0"/>
        <w:numPr>
          <w:ilvl w:val="0"/>
          <w:numId w:val="7"/>
        </w:numPr>
        <w:shd w:val="clear" w:color="auto" w:fill="auto"/>
        <w:tabs>
          <w:tab w:pos="1083" w:val="left"/>
        </w:tabs>
        <w:bidi w:val="0"/>
        <w:spacing w:before="0" w:after="0" w:line="233" w:lineRule="auto"/>
        <w:ind w:left="0" w:right="0" w:firstLine="560"/>
        <w:jc w:val="both"/>
      </w:pPr>
      <w:r>
        <w:rPr>
          <w:rStyle w:val="CharStyle11"/>
        </w:rPr>
        <w:t>datum dodání a montáže,</w:t>
      </w:r>
    </w:p>
    <w:p>
      <w:pPr>
        <w:pStyle w:val="Style10"/>
        <w:keepNext w:val="0"/>
        <w:keepLines w:val="0"/>
        <w:widowControl w:val="0"/>
        <w:numPr>
          <w:ilvl w:val="0"/>
          <w:numId w:val="7"/>
        </w:numPr>
        <w:shd w:val="clear" w:color="auto" w:fill="auto"/>
        <w:tabs>
          <w:tab w:pos="1083" w:val="left"/>
        </w:tabs>
        <w:bidi w:val="0"/>
        <w:spacing w:before="0" w:after="0" w:line="233" w:lineRule="auto"/>
        <w:ind w:left="0" w:right="0" w:firstLine="560"/>
        <w:jc w:val="both"/>
      </w:pPr>
      <w:r>
        <w:rPr>
          <w:rStyle w:val="CharStyle11"/>
        </w:rPr>
        <w:t>stav zboží v okamžiku jeho předání a převzetí,</w:t>
      </w:r>
    </w:p>
    <w:p>
      <w:pPr>
        <w:pStyle w:val="Style10"/>
        <w:keepNext w:val="0"/>
        <w:keepLines w:val="0"/>
        <w:widowControl w:val="0"/>
        <w:numPr>
          <w:ilvl w:val="0"/>
          <w:numId w:val="7"/>
        </w:numPr>
        <w:shd w:val="clear" w:color="auto" w:fill="auto"/>
        <w:tabs>
          <w:tab w:pos="1083" w:val="left"/>
        </w:tabs>
        <w:bidi w:val="0"/>
        <w:spacing w:before="0" w:line="233" w:lineRule="auto"/>
        <w:ind w:left="0" w:right="0" w:firstLine="560"/>
        <w:jc w:val="both"/>
      </w:pPr>
      <w:r>
        <w:rPr>
          <w:rStyle w:val="CharStyle11"/>
        </w:rPr>
        <w:t>seznam předaných dokladů.</w:t>
      </w:r>
    </w:p>
    <w:p>
      <w:pPr>
        <w:pStyle w:val="Style10"/>
        <w:keepNext w:val="0"/>
        <w:keepLines w:val="0"/>
        <w:widowControl w:val="0"/>
        <w:numPr>
          <w:ilvl w:val="1"/>
          <w:numId w:val="1"/>
        </w:numPr>
        <w:shd w:val="clear" w:color="auto" w:fill="auto"/>
        <w:tabs>
          <w:tab w:pos="560" w:val="left"/>
        </w:tabs>
        <w:bidi w:val="0"/>
        <w:spacing w:before="0" w:line="240" w:lineRule="auto"/>
        <w:ind w:left="560" w:right="0" w:hanging="560"/>
        <w:jc w:val="both"/>
      </w:pPr>
      <w:r>
        <w:rPr>
          <w:rStyle w:val="CharStyle11"/>
        </w:rPr>
        <w:t>Řádně vyplněný zápis o předání a převzetí zboží podepíšou oprávnění zástupci obou Smluvních stran, přičemž podpisem zápisu o předání a převzetí dochází k převzetí a předání zboží a ke splnění závazku dodat předmět plnění dle Smlouvy.</w:t>
      </w:r>
    </w:p>
    <w:p>
      <w:pPr>
        <w:pStyle w:val="Style10"/>
        <w:keepNext w:val="0"/>
        <w:keepLines w:val="0"/>
        <w:widowControl w:val="0"/>
        <w:numPr>
          <w:ilvl w:val="0"/>
          <w:numId w:val="1"/>
        </w:numPr>
        <w:shd w:val="clear" w:color="auto" w:fill="auto"/>
        <w:tabs>
          <w:tab w:pos="560" w:val="left"/>
        </w:tabs>
        <w:bidi w:val="0"/>
        <w:spacing w:before="0" w:line="240" w:lineRule="auto"/>
        <w:ind w:left="0" w:right="0" w:firstLine="0"/>
        <w:jc w:val="both"/>
      </w:pPr>
      <w:r>
        <w:rPr>
          <w:rStyle w:val="CharStyle11"/>
          <w:b/>
          <w:bCs/>
        </w:rPr>
        <w:t>ODPOVĚDNOST ZA VADY, ZÁRUKA ZA JAKOST, ZÁRUČNÍ SERVIS</w:t>
      </w:r>
    </w:p>
    <w:p>
      <w:pPr>
        <w:pStyle w:val="Style10"/>
        <w:keepNext w:val="0"/>
        <w:keepLines w:val="0"/>
        <w:widowControl w:val="0"/>
        <w:numPr>
          <w:ilvl w:val="1"/>
          <w:numId w:val="1"/>
        </w:numPr>
        <w:shd w:val="clear" w:color="auto" w:fill="auto"/>
        <w:tabs>
          <w:tab w:pos="541" w:val="left"/>
        </w:tabs>
        <w:bidi w:val="0"/>
        <w:spacing w:before="0" w:line="240" w:lineRule="auto"/>
        <w:ind w:left="560" w:right="0" w:hanging="560"/>
        <w:jc w:val="both"/>
      </w:pPr>
      <w:r>
        <w:rPr>
          <w:rStyle w:val="CharStyle11"/>
        </w:rPr>
        <w:t>Prodávající přejímá níže uvedenou záruku za jakost předmětu plnění dodaného a provedeného podle Smlouvy, a to ve smyslu § 2113 OZ. Záruční doba na celý předmět plnění činí 60 kalendářních měsíců ode dne předání a převzetí předmětu plnění dle čl. 5 Smlouvy.</w:t>
      </w:r>
    </w:p>
    <w:p>
      <w:pPr>
        <w:pStyle w:val="Style10"/>
        <w:keepNext w:val="0"/>
        <w:keepLines w:val="0"/>
        <w:widowControl w:val="0"/>
        <w:numPr>
          <w:ilvl w:val="1"/>
          <w:numId w:val="1"/>
        </w:numPr>
        <w:shd w:val="clear" w:color="auto" w:fill="auto"/>
        <w:tabs>
          <w:tab w:pos="541" w:val="left"/>
        </w:tabs>
        <w:bidi w:val="0"/>
        <w:spacing w:before="0" w:line="240" w:lineRule="auto"/>
        <w:ind w:left="560" w:right="0" w:hanging="560"/>
        <w:jc w:val="both"/>
      </w:pPr>
      <w:r>
        <w:rPr>
          <w:rStyle w:val="CharStyle11"/>
        </w:rPr>
        <w:t>Bezplatný servis poskytnutý Prodávajícím Kupujícímu v záruční době na celý předmět plnění pokrývá veškeré náklady na náhradní díly, spotřební materiál dle čl. 3.1 a 3.3 Smlouvy, cestovné a práci servisních techniků.</w:t>
      </w:r>
    </w:p>
    <w:p>
      <w:pPr>
        <w:pStyle w:val="Style10"/>
        <w:keepNext w:val="0"/>
        <w:keepLines w:val="0"/>
        <w:widowControl w:val="0"/>
        <w:numPr>
          <w:ilvl w:val="1"/>
          <w:numId w:val="1"/>
        </w:numPr>
        <w:shd w:val="clear" w:color="auto" w:fill="auto"/>
        <w:tabs>
          <w:tab w:pos="541" w:val="left"/>
        </w:tabs>
        <w:bidi w:val="0"/>
        <w:spacing w:before="0" w:line="240" w:lineRule="auto"/>
        <w:ind w:left="560" w:right="0" w:hanging="560"/>
        <w:jc w:val="both"/>
      </w:pPr>
      <w:r>
        <w:rPr>
          <w:rStyle w:val="CharStyle11"/>
        </w:rPr>
        <w:t xml:space="preserve">Na záruční opravy nastoupí Prodávající v místě plnění, a to v pracovní dny v pracovní době nejpozději do 24 hodin od nahlášení závady Kupujícím, které musí být provedeno písemnou formou (dopisem nebo emailem) na adresu sídla uvedenou v záhlaví smlouvy nebo emailovou adresu Prodávajícího </w:t>
      </w:r>
      <w:r>
        <w:fldChar w:fldCharType="begin"/>
      </w:r>
      <w:r>
        <w:rPr/>
        <w:instrText> HYPERLINK "mailto:keramicketabule@seznam.cz" </w:instrText>
      </w:r>
      <w:r>
        <w:fldChar w:fldCharType="separate"/>
      </w:r>
      <w:r>
        <w:rPr>
          <w:rStyle w:val="CharStyle11"/>
          <w:color w:val="0000FF"/>
          <w:u w:val="single"/>
        </w:rPr>
        <w:t>keramicketabule@seznam.cz</w:t>
      </w:r>
      <w:r>
        <w:fldChar w:fldCharType="end"/>
      </w:r>
      <w:r>
        <w:rPr>
          <w:rStyle w:val="CharStyle11"/>
          <w:color w:val="0000FF"/>
        </w:rPr>
        <w:t xml:space="preserve"> </w:t>
      </w:r>
      <w:r>
        <w:rPr>
          <w:rStyle w:val="CharStyle11"/>
        </w:rPr>
        <w:t>nebo do datové schránky Prodávajícího.</w:t>
      </w:r>
    </w:p>
    <w:p>
      <w:pPr>
        <w:pStyle w:val="Style10"/>
        <w:keepNext w:val="0"/>
        <w:keepLines w:val="0"/>
        <w:widowControl w:val="0"/>
        <w:numPr>
          <w:ilvl w:val="1"/>
          <w:numId w:val="1"/>
        </w:numPr>
        <w:shd w:val="clear" w:color="auto" w:fill="auto"/>
        <w:tabs>
          <w:tab w:pos="541" w:val="left"/>
        </w:tabs>
        <w:bidi w:val="0"/>
        <w:spacing w:before="0" w:line="240" w:lineRule="auto"/>
        <w:ind w:left="560" w:right="0" w:hanging="560"/>
        <w:jc w:val="both"/>
      </w:pPr>
      <w:r>
        <w:rPr>
          <w:rStyle w:val="CharStyle11"/>
        </w:rPr>
        <w:t>Prodávající se zavazuje odstranit vady v záruční době maximálně do dvou (2) pracovních dnů od nastoupení k jejich odstranění.</w:t>
      </w:r>
    </w:p>
    <w:p>
      <w:pPr>
        <w:pStyle w:val="Style10"/>
        <w:keepNext w:val="0"/>
        <w:keepLines w:val="0"/>
        <w:widowControl w:val="0"/>
        <w:numPr>
          <w:ilvl w:val="1"/>
          <w:numId w:val="1"/>
        </w:numPr>
        <w:shd w:val="clear" w:color="auto" w:fill="auto"/>
        <w:tabs>
          <w:tab w:pos="541" w:val="left"/>
        </w:tabs>
        <w:bidi w:val="0"/>
        <w:spacing w:before="0" w:line="233" w:lineRule="auto"/>
        <w:ind w:left="560" w:right="0" w:hanging="560"/>
        <w:jc w:val="both"/>
      </w:pPr>
      <w:r>
        <w:rPr>
          <w:rStyle w:val="CharStyle11"/>
        </w:rPr>
        <w:t>Záruka se nevztahuje na vady způsobené zaviněným jednáním Kupujícího anebo způsobené vyšší mocí.</w:t>
      </w:r>
    </w:p>
    <w:p>
      <w:pPr>
        <w:pStyle w:val="Style2"/>
        <w:keepNext/>
        <w:keepLines/>
        <w:widowControl w:val="0"/>
        <w:numPr>
          <w:ilvl w:val="0"/>
          <w:numId w:val="1"/>
        </w:numPr>
        <w:shd w:val="clear" w:color="auto" w:fill="auto"/>
        <w:tabs>
          <w:tab w:pos="541" w:val="left"/>
        </w:tabs>
        <w:bidi w:val="0"/>
        <w:spacing w:before="0" w:line="240" w:lineRule="auto"/>
        <w:ind w:left="0" w:right="0" w:firstLine="0"/>
        <w:jc w:val="both"/>
      </w:pPr>
      <w:bookmarkStart w:id="11" w:name="bookmark11"/>
      <w:r>
        <w:rPr>
          <w:rStyle w:val="CharStyle3"/>
          <w:b/>
          <w:bCs/>
        </w:rPr>
        <w:t>SMLUVNÍ POKUTA A ÚROK Z PRODLENÍ</w:t>
      </w:r>
      <w:bookmarkEnd w:id="11"/>
    </w:p>
    <w:p>
      <w:pPr>
        <w:pStyle w:val="Style10"/>
        <w:keepNext w:val="0"/>
        <w:keepLines w:val="0"/>
        <w:widowControl w:val="0"/>
        <w:numPr>
          <w:ilvl w:val="1"/>
          <w:numId w:val="1"/>
        </w:numPr>
        <w:shd w:val="clear" w:color="auto" w:fill="auto"/>
        <w:tabs>
          <w:tab w:pos="541" w:val="left"/>
        </w:tabs>
        <w:bidi w:val="0"/>
        <w:spacing w:before="0" w:line="240" w:lineRule="auto"/>
        <w:ind w:left="560" w:right="0" w:hanging="560"/>
        <w:jc w:val="both"/>
      </w:pPr>
      <w:r>
        <w:rPr>
          <w:rStyle w:val="CharStyle11"/>
        </w:rPr>
        <w:t>Smluvními stranami bylo ujednáno, že pokud bude Kupující v prodlení s úhradou ceny plnění ujednané podle Smlouvy, je Kupující povinen zaplatit smluvní pokutu ve výši 0,05 % z dlužné částky za každý, byť započatý kalendářní den prodlení.</w:t>
      </w:r>
    </w:p>
    <w:p>
      <w:pPr>
        <w:pStyle w:val="Style10"/>
        <w:keepNext w:val="0"/>
        <w:keepLines w:val="0"/>
        <w:widowControl w:val="0"/>
        <w:numPr>
          <w:ilvl w:val="1"/>
          <w:numId w:val="1"/>
        </w:numPr>
        <w:shd w:val="clear" w:color="auto" w:fill="auto"/>
        <w:tabs>
          <w:tab w:pos="541" w:val="left"/>
        </w:tabs>
        <w:bidi w:val="0"/>
        <w:spacing w:before="0" w:line="233" w:lineRule="auto"/>
        <w:ind w:left="560" w:right="0" w:hanging="560"/>
        <w:jc w:val="both"/>
      </w:pPr>
      <w:r>
        <w:rPr>
          <w:rStyle w:val="CharStyle11"/>
        </w:rPr>
        <w:t>Ocitne-li se Prodávající v prodlení s plněním podle Smlouvy, je povinen zaplatit Kupujícímu smluvní pokutu:</w:t>
      </w:r>
    </w:p>
    <w:p>
      <w:pPr>
        <w:pStyle w:val="Style10"/>
        <w:keepNext w:val="0"/>
        <w:keepLines w:val="0"/>
        <w:widowControl w:val="0"/>
        <w:numPr>
          <w:ilvl w:val="0"/>
          <w:numId w:val="9"/>
        </w:numPr>
        <w:shd w:val="clear" w:color="auto" w:fill="auto"/>
        <w:tabs>
          <w:tab w:pos="1126" w:val="left"/>
        </w:tabs>
        <w:bidi w:val="0"/>
        <w:spacing w:before="0" w:line="233" w:lineRule="auto"/>
        <w:ind w:left="1140" w:right="0" w:hanging="580"/>
        <w:jc w:val="both"/>
      </w:pPr>
      <w:r>
        <w:rPr>
          <w:rStyle w:val="CharStyle11"/>
        </w:rPr>
        <w:t>za každý, byť započatý kalendářní den prodlení se splněním celého předmětu plnění dle čl. 5.2 Smlouvy smluvní pokutu ve výši 0,05 % z celkové kupní ceny bez DPH,</w:t>
      </w:r>
    </w:p>
    <w:p>
      <w:pPr>
        <w:pStyle w:val="Style10"/>
        <w:keepNext w:val="0"/>
        <w:keepLines w:val="0"/>
        <w:widowControl w:val="0"/>
        <w:numPr>
          <w:ilvl w:val="0"/>
          <w:numId w:val="9"/>
        </w:numPr>
        <w:shd w:val="clear" w:color="auto" w:fill="auto"/>
        <w:tabs>
          <w:tab w:pos="1126" w:val="left"/>
        </w:tabs>
        <w:bidi w:val="0"/>
        <w:spacing w:before="0" w:line="233" w:lineRule="auto"/>
        <w:ind w:left="1140" w:right="0" w:hanging="580"/>
        <w:jc w:val="both"/>
      </w:pPr>
      <w:r>
        <w:rPr>
          <w:rStyle w:val="CharStyle11"/>
        </w:rPr>
        <w:t>za každý, byť započatý den prodlení s nastoupením k odstraňování vad v záruční době dle čl. 6.3 Smlouvy smluvní pokutu ve výši 0,05 % z celkové kupní ceny bez DPH,</w:t>
      </w:r>
    </w:p>
    <w:p>
      <w:pPr>
        <w:pStyle w:val="Style10"/>
        <w:keepNext w:val="0"/>
        <w:keepLines w:val="0"/>
        <w:widowControl w:val="0"/>
        <w:numPr>
          <w:ilvl w:val="0"/>
          <w:numId w:val="9"/>
        </w:numPr>
        <w:shd w:val="clear" w:color="auto" w:fill="auto"/>
        <w:tabs>
          <w:tab w:pos="1126" w:val="left"/>
        </w:tabs>
        <w:bidi w:val="0"/>
        <w:spacing w:before="0" w:line="240" w:lineRule="auto"/>
        <w:ind w:left="1140" w:right="0" w:hanging="580"/>
        <w:jc w:val="both"/>
      </w:pPr>
      <w:r>
        <w:rPr>
          <w:rStyle w:val="CharStyle11"/>
        </w:rPr>
        <w:t>za každý započatý kalendářní den, o který bude překročena lhůta k odstranění vady od nastoupení k jejich odstranění dle čl. 6.4 Smlouvy smluvní pokutu ve výši 0,05 % z celkové kupní ceny bez DPH. Bude-li tato lhůta překročena z důvodů, které Prodávající nezavinil, je Kupující oprávněn smluvní pokutu prominout na základě písemné žádosti Prodávajícího.</w:t>
      </w:r>
    </w:p>
    <w:p>
      <w:pPr>
        <w:pStyle w:val="Style10"/>
        <w:keepNext w:val="0"/>
        <w:keepLines w:val="0"/>
        <w:widowControl w:val="0"/>
        <w:numPr>
          <w:ilvl w:val="1"/>
          <w:numId w:val="1"/>
        </w:numPr>
        <w:shd w:val="clear" w:color="auto" w:fill="auto"/>
        <w:tabs>
          <w:tab w:pos="541" w:val="left"/>
        </w:tabs>
        <w:bidi w:val="0"/>
        <w:spacing w:before="0" w:line="240" w:lineRule="auto"/>
        <w:ind w:left="560" w:right="0" w:hanging="560"/>
        <w:jc w:val="both"/>
      </w:pPr>
      <w:r>
        <w:rPr>
          <w:rStyle w:val="CharStyle11"/>
        </w:rPr>
        <w:t>Uplatněním práv z vad či uplatněním smluvních pokut není dotčeno právo na náhradu újmy zvlášť a v plné výši. Smluvní pokutu je Kupující oprávněn započíst oproti pohledávce Prodávajícího.</w:t>
      </w:r>
    </w:p>
    <w:p>
      <w:pPr>
        <w:pStyle w:val="Style10"/>
        <w:keepNext w:val="0"/>
        <w:keepLines w:val="0"/>
        <w:widowControl w:val="0"/>
        <w:numPr>
          <w:ilvl w:val="1"/>
          <w:numId w:val="1"/>
        </w:numPr>
        <w:shd w:val="clear" w:color="auto" w:fill="auto"/>
        <w:tabs>
          <w:tab w:pos="541" w:val="left"/>
        </w:tabs>
        <w:bidi w:val="0"/>
        <w:spacing w:before="0" w:line="233" w:lineRule="auto"/>
        <w:ind w:left="560" w:right="0" w:hanging="560"/>
        <w:jc w:val="both"/>
      </w:pPr>
      <w:r>
        <w:rPr>
          <w:rStyle w:val="CharStyle11"/>
        </w:rPr>
        <w:t>Smluvní pokuta je splatná do 30 dnů ode dne doručení výzvy k jejímu zaplacení. Dnem splatnosti se rozumí den připsání příslušné částky na účet Kupujícího.</w:t>
      </w:r>
    </w:p>
    <w:p>
      <w:pPr>
        <w:pStyle w:val="Style2"/>
        <w:keepNext/>
        <w:keepLines/>
        <w:widowControl w:val="0"/>
        <w:numPr>
          <w:ilvl w:val="0"/>
          <w:numId w:val="1"/>
        </w:numPr>
        <w:shd w:val="clear" w:color="auto" w:fill="auto"/>
        <w:tabs>
          <w:tab w:pos="545" w:val="left"/>
        </w:tabs>
        <w:bidi w:val="0"/>
        <w:spacing w:before="0" w:line="240" w:lineRule="auto"/>
        <w:ind w:left="0" w:right="0" w:firstLine="0"/>
        <w:jc w:val="both"/>
      </w:pPr>
      <w:bookmarkStart w:id="13" w:name="bookmark13"/>
      <w:r>
        <w:rPr>
          <w:rStyle w:val="CharStyle3"/>
          <w:b/>
          <w:bCs/>
        </w:rPr>
        <w:t>ODSTOUPENÍ OD SMLOUVY</w:t>
      </w:r>
      <w:bookmarkEnd w:id="13"/>
    </w:p>
    <w:p>
      <w:pPr>
        <w:pStyle w:val="Style10"/>
        <w:keepNext w:val="0"/>
        <w:keepLines w:val="0"/>
        <w:widowControl w:val="0"/>
        <w:numPr>
          <w:ilvl w:val="1"/>
          <w:numId w:val="1"/>
        </w:numPr>
        <w:shd w:val="clear" w:color="auto" w:fill="auto"/>
        <w:tabs>
          <w:tab w:pos="545" w:val="left"/>
        </w:tabs>
        <w:bidi w:val="0"/>
        <w:spacing w:before="0" w:line="233" w:lineRule="auto"/>
        <w:ind w:left="560" w:right="0" w:hanging="560"/>
        <w:jc w:val="both"/>
      </w:pPr>
      <w:r>
        <w:rPr>
          <w:rStyle w:val="CharStyle11"/>
        </w:rPr>
        <w:t>Od Smlouvy může Smluvní strana dotčená porušením povinnosti druhou Smluvní stranou jednostranně odstoupit pro podstatné porušení Smlouvy, přičemž za podstatné porušení Smlouvy se zejména považuje:</w:t>
      </w:r>
    </w:p>
    <w:p>
      <w:pPr>
        <w:pStyle w:val="Style10"/>
        <w:keepNext w:val="0"/>
        <w:keepLines w:val="0"/>
        <w:widowControl w:val="0"/>
        <w:numPr>
          <w:ilvl w:val="0"/>
          <w:numId w:val="11"/>
        </w:numPr>
        <w:shd w:val="clear" w:color="auto" w:fill="auto"/>
        <w:tabs>
          <w:tab w:pos="1126" w:val="left"/>
        </w:tabs>
        <w:bidi w:val="0"/>
        <w:spacing w:before="0" w:line="233" w:lineRule="auto"/>
        <w:ind w:left="1140" w:right="0" w:hanging="580"/>
        <w:jc w:val="both"/>
      </w:pPr>
      <w:r>
        <w:rPr>
          <w:rStyle w:val="CharStyle11"/>
        </w:rPr>
        <w:t>na straně Kupujícího nezaplacení kupní ceny podle Smlouvy ve lhůtě delší než 60 dnů po dni splatnosti faktury,</w:t>
      </w:r>
    </w:p>
    <w:p>
      <w:pPr>
        <w:pStyle w:val="Style10"/>
        <w:keepNext w:val="0"/>
        <w:keepLines w:val="0"/>
        <w:widowControl w:val="0"/>
        <w:numPr>
          <w:ilvl w:val="0"/>
          <w:numId w:val="11"/>
        </w:numPr>
        <w:shd w:val="clear" w:color="auto" w:fill="auto"/>
        <w:tabs>
          <w:tab w:pos="1126" w:val="left"/>
        </w:tabs>
        <w:bidi w:val="0"/>
        <w:spacing w:before="0" w:line="240" w:lineRule="auto"/>
        <w:ind w:left="1140" w:right="0" w:hanging="580"/>
        <w:jc w:val="both"/>
      </w:pPr>
      <w:r>
        <w:rPr>
          <w:rStyle w:val="CharStyle11"/>
        </w:rPr>
        <w:t>na straně Prodávajícího, jestliže nedodá řádně a včas předmět plnění, pokud nezjednal nápravu, přestože byl Kupujícím na neplnění této Smlouvy písemně upozorněn; bude- li z chování Prodávajícího zřejmé, že svoje závazky nesplní ani do 7 dnů, je Kupující oprávněn od Smlouvy odstoupit, aniž by byl povinen Kupujícího upozornit,</w:t>
      </w:r>
    </w:p>
    <w:p>
      <w:pPr>
        <w:pStyle w:val="Style10"/>
        <w:keepNext w:val="0"/>
        <w:keepLines w:val="0"/>
        <w:widowControl w:val="0"/>
        <w:numPr>
          <w:ilvl w:val="0"/>
          <w:numId w:val="11"/>
        </w:numPr>
        <w:shd w:val="clear" w:color="auto" w:fill="auto"/>
        <w:tabs>
          <w:tab w:pos="1126" w:val="left"/>
        </w:tabs>
        <w:bidi w:val="0"/>
        <w:spacing w:before="0" w:line="240" w:lineRule="auto"/>
        <w:ind w:left="1140" w:right="0" w:hanging="580"/>
        <w:jc w:val="both"/>
      </w:pPr>
      <w:r>
        <w:rPr>
          <w:rStyle w:val="CharStyle11"/>
        </w:rPr>
        <w:t>na straně Prodávajícího, bude-li předmět plnění či jeho část v průběhu záruční doby v důsledku své vady mimo provoz po dobu jakýchkoli nejméně 15 dnů za období jakýchkoli 6 měsíců nebo kontinuálně mimo provoz po dobu 2 měsíce,</w:t>
      </w:r>
    </w:p>
    <w:p>
      <w:pPr>
        <w:pStyle w:val="Style10"/>
        <w:keepNext w:val="0"/>
        <w:keepLines w:val="0"/>
        <w:widowControl w:val="0"/>
        <w:numPr>
          <w:ilvl w:val="0"/>
          <w:numId w:val="11"/>
        </w:numPr>
        <w:shd w:val="clear" w:color="auto" w:fill="auto"/>
        <w:tabs>
          <w:tab w:pos="1126" w:val="left"/>
        </w:tabs>
        <w:bidi w:val="0"/>
        <w:spacing w:before="0" w:line="240" w:lineRule="auto"/>
        <w:ind w:left="1140" w:right="0" w:hanging="580"/>
        <w:jc w:val="both"/>
      </w:pPr>
      <w:r>
        <w:rPr>
          <w:rStyle w:val="CharStyle11"/>
        </w:rPr>
        <w:t>na straně Prodávajícího, jestliže Prodávající ujistil Kupujícího, že předmět plnění má určité vlastnosti, zejména vlastnosti Kupujícím výslovně vymíněné, anebo že nemá žádné vady, a toto ujištění se následně ukáže nepravdivým,</w:t>
      </w:r>
    </w:p>
    <w:p>
      <w:pPr>
        <w:pStyle w:val="Style10"/>
        <w:keepNext w:val="0"/>
        <w:keepLines w:val="0"/>
        <w:widowControl w:val="0"/>
        <w:numPr>
          <w:ilvl w:val="0"/>
          <w:numId w:val="11"/>
        </w:numPr>
        <w:shd w:val="clear" w:color="auto" w:fill="auto"/>
        <w:tabs>
          <w:tab w:pos="1126" w:val="left"/>
        </w:tabs>
        <w:bidi w:val="0"/>
        <w:spacing w:before="0" w:line="233" w:lineRule="auto"/>
        <w:ind w:left="1140" w:right="0" w:hanging="580"/>
        <w:jc w:val="both"/>
      </w:pPr>
      <w:r>
        <w:rPr>
          <w:rStyle w:val="CharStyle11"/>
        </w:rPr>
        <w:t>na straně Prodávajícího v případě, že se kterékoliv prohlášení Prodávajícího uvedené ve Smlouvě ukáže jako nepravdivé.</w:t>
      </w:r>
    </w:p>
    <w:p>
      <w:pPr>
        <w:pStyle w:val="Style10"/>
        <w:keepNext w:val="0"/>
        <w:keepLines w:val="0"/>
        <w:widowControl w:val="0"/>
        <w:numPr>
          <w:ilvl w:val="1"/>
          <w:numId w:val="1"/>
        </w:numPr>
        <w:shd w:val="clear" w:color="auto" w:fill="auto"/>
        <w:tabs>
          <w:tab w:pos="545" w:val="left"/>
        </w:tabs>
        <w:bidi w:val="0"/>
        <w:spacing w:before="0" w:line="233" w:lineRule="auto"/>
        <w:ind w:left="560" w:right="0" w:hanging="560"/>
        <w:jc w:val="both"/>
      </w:pPr>
      <w:r>
        <w:rPr>
          <w:rStyle w:val="CharStyle11"/>
        </w:rPr>
        <w:t>Odstoupení od Smlouvy musí mít písemnou formu a musí v něm být přesně popsán důvod odstoupení. Smlouva zaniká ke dni doručení oznámení odstupující Smluvní strany o odstoupení druhé Smluvní straně.</w:t>
      </w:r>
    </w:p>
    <w:p>
      <w:pPr>
        <w:pStyle w:val="Style10"/>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11"/>
        </w:rPr>
        <w:t>Odstoupení od Smlouvy se nedotýká práva na náhradu škody vzniklého z porušení smluvní povinnosti, práva na zaplacení smluvní pokuty a úroku z prodlení, ani ujednání o způsobu řešení sporů a volbě práva.</w:t>
      </w:r>
    </w:p>
    <w:p>
      <w:pPr>
        <w:pStyle w:val="Style2"/>
        <w:keepNext/>
        <w:keepLines/>
        <w:widowControl w:val="0"/>
        <w:numPr>
          <w:ilvl w:val="0"/>
          <w:numId w:val="1"/>
        </w:numPr>
        <w:shd w:val="clear" w:color="auto" w:fill="auto"/>
        <w:tabs>
          <w:tab w:pos="545" w:val="left"/>
        </w:tabs>
        <w:bidi w:val="0"/>
        <w:spacing w:before="0" w:line="240" w:lineRule="auto"/>
        <w:ind w:left="0" w:right="0" w:firstLine="0"/>
        <w:jc w:val="both"/>
      </w:pPr>
      <w:bookmarkStart w:id="15" w:name="bookmark15"/>
      <w:r>
        <w:rPr>
          <w:rStyle w:val="CharStyle3"/>
          <w:b/>
          <w:bCs/>
        </w:rPr>
        <w:t>OSTATNÍ UJEDNÁNÍ</w:t>
      </w:r>
      <w:bookmarkEnd w:id="15"/>
    </w:p>
    <w:p>
      <w:pPr>
        <w:pStyle w:val="Style10"/>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11"/>
        </w:rPr>
        <w:t>Smluvní strany se dohodly, že vlastnické právo k dodanému zboží nabývá Kupující okamžikem splnění dodávky Prodávajícím podle podmínek Smlouvy, tj. jakmile je podepsaný zápis o předání a převzetí. Tímto okamžikem přechází riziko nahodilé zkázy na Kupujícího.</w:t>
      </w:r>
    </w:p>
    <w:p>
      <w:pPr>
        <w:pStyle w:val="Style10"/>
        <w:keepNext w:val="0"/>
        <w:keepLines w:val="0"/>
        <w:widowControl w:val="0"/>
        <w:numPr>
          <w:ilvl w:val="1"/>
          <w:numId w:val="1"/>
        </w:numPr>
        <w:shd w:val="clear" w:color="auto" w:fill="auto"/>
        <w:tabs>
          <w:tab w:pos="545" w:val="left"/>
        </w:tabs>
        <w:bidi w:val="0"/>
        <w:spacing w:before="0" w:line="233" w:lineRule="auto"/>
        <w:ind w:left="560" w:right="0" w:hanging="560"/>
        <w:jc w:val="both"/>
      </w:pPr>
      <w:r>
        <w:rPr>
          <w:rStyle w:val="CharStyle11"/>
        </w:rPr>
        <w:t>Kupující se zavazuje umožnit přístup určeným pracovníkům Prodávajícího do prostoru svého objektu za účelem splnění Smlouvy a provedení umístění nábytku a dále pak za účelem následných oprav.</w:t>
      </w:r>
    </w:p>
    <w:p>
      <w:pPr>
        <w:pStyle w:val="Style10"/>
        <w:keepNext w:val="0"/>
        <w:keepLines w:val="0"/>
        <w:widowControl w:val="0"/>
        <w:numPr>
          <w:ilvl w:val="1"/>
          <w:numId w:val="1"/>
        </w:numPr>
        <w:shd w:val="clear" w:color="auto" w:fill="auto"/>
        <w:tabs>
          <w:tab w:pos="545" w:val="left"/>
        </w:tabs>
        <w:bidi w:val="0"/>
        <w:spacing w:before="0" w:line="240" w:lineRule="auto"/>
        <w:ind w:left="560" w:right="0" w:hanging="560"/>
        <w:jc w:val="both"/>
      </w:pPr>
      <w:r>
        <w:rPr>
          <w:rStyle w:val="CharStyle11"/>
        </w:rPr>
        <w:t>Právní vztahy Smlouvou neupravené, jakož i právní poměry z ní vznikající a vyplývající, se řídí příslušnými ustanoveními OZ a dalšími právními předpisy České republiky.</w:t>
      </w:r>
    </w:p>
    <w:p>
      <w:pPr>
        <w:pStyle w:val="Style10"/>
        <w:keepNext w:val="0"/>
        <w:keepLines w:val="0"/>
        <w:widowControl w:val="0"/>
        <w:numPr>
          <w:ilvl w:val="1"/>
          <w:numId w:val="1"/>
        </w:numPr>
        <w:shd w:val="clear" w:color="auto" w:fill="auto"/>
        <w:tabs>
          <w:tab w:pos="853" w:val="left"/>
        </w:tabs>
        <w:bidi w:val="0"/>
        <w:spacing w:before="0" w:line="240" w:lineRule="auto"/>
        <w:ind w:left="860" w:right="0" w:hanging="540"/>
        <w:jc w:val="both"/>
      </w:pPr>
      <w:r>
        <w:rPr>
          <w:rStyle w:val="CharStyle11"/>
        </w:rPr>
        <w:t>Ujednává se, že případné spory vzniklé ze Smlouvy budou účastníci řešit především vzájemnou dohodou. Pro řízení o případné sporné nároky se ujednává příslušnost soudů. Rozhodným právem je právo České republiky.</w:t>
      </w:r>
    </w:p>
    <w:p>
      <w:pPr>
        <w:pStyle w:val="Style10"/>
        <w:keepNext w:val="0"/>
        <w:keepLines w:val="0"/>
        <w:widowControl w:val="0"/>
        <w:numPr>
          <w:ilvl w:val="1"/>
          <w:numId w:val="1"/>
        </w:numPr>
        <w:shd w:val="clear" w:color="auto" w:fill="auto"/>
        <w:tabs>
          <w:tab w:pos="853" w:val="left"/>
        </w:tabs>
        <w:bidi w:val="0"/>
        <w:spacing w:before="0" w:line="240" w:lineRule="auto"/>
        <w:ind w:left="860" w:right="0" w:hanging="540"/>
        <w:jc w:val="both"/>
      </w:pPr>
      <w:r>
        <w:rPr>
          <w:rStyle w:val="CharStyle11"/>
        </w:rPr>
        <w:t>Smluvní strany se dohodly, že se vylučuje použití ustanovení § 2093 OZ, tzn. dodá-li Prodávající větší množství věcí, než bylo Smlouvou ujednáno, není Smlouva uzavřena i na přebytečné množství.</w:t>
      </w:r>
    </w:p>
    <w:p>
      <w:pPr>
        <w:pStyle w:val="Style10"/>
        <w:keepNext w:val="0"/>
        <w:keepLines w:val="0"/>
        <w:widowControl w:val="0"/>
        <w:numPr>
          <w:ilvl w:val="1"/>
          <w:numId w:val="1"/>
        </w:numPr>
        <w:shd w:val="clear" w:color="auto" w:fill="auto"/>
        <w:tabs>
          <w:tab w:pos="853" w:val="left"/>
        </w:tabs>
        <w:bidi w:val="0"/>
        <w:spacing w:before="0" w:line="233" w:lineRule="auto"/>
        <w:ind w:left="860" w:right="0" w:hanging="540"/>
        <w:jc w:val="both"/>
      </w:pPr>
      <w:r>
        <w:rPr>
          <w:rStyle w:val="CharStyle11"/>
        </w:rPr>
        <w:t>Prodávající, jako osoba povinná dle § 2 písm. e) zákona č. 320/2001 Sb., o finanční kontrole, ve znění pozdějších předpisů, je povinna spolupůsobit při výkonu finanční kontroly.</w:t>
      </w:r>
    </w:p>
    <w:p>
      <w:pPr>
        <w:pStyle w:val="Style2"/>
        <w:keepNext/>
        <w:keepLines/>
        <w:widowControl w:val="0"/>
        <w:numPr>
          <w:ilvl w:val="0"/>
          <w:numId w:val="1"/>
        </w:numPr>
        <w:shd w:val="clear" w:color="auto" w:fill="auto"/>
        <w:tabs>
          <w:tab w:pos="860" w:val="left"/>
        </w:tabs>
        <w:bidi w:val="0"/>
        <w:spacing w:before="0" w:line="240" w:lineRule="auto"/>
        <w:ind w:left="0" w:right="0" w:firstLine="320"/>
        <w:jc w:val="left"/>
      </w:pPr>
      <w:bookmarkStart w:id="17" w:name="bookmark17"/>
      <w:r>
        <w:rPr>
          <w:rStyle w:val="CharStyle3"/>
          <w:b/>
          <w:bCs/>
        </w:rPr>
        <w:t>ZÁVĚREČNÁ USTANOVENÍ</w:t>
      </w:r>
      <w:bookmarkEnd w:id="17"/>
    </w:p>
    <w:p>
      <w:pPr>
        <w:pStyle w:val="Style10"/>
        <w:keepNext w:val="0"/>
        <w:keepLines w:val="0"/>
        <w:widowControl w:val="0"/>
        <w:numPr>
          <w:ilvl w:val="1"/>
          <w:numId w:val="1"/>
        </w:numPr>
        <w:shd w:val="clear" w:color="auto" w:fill="auto"/>
        <w:tabs>
          <w:tab w:pos="868" w:val="left"/>
        </w:tabs>
        <w:bidi w:val="0"/>
        <w:spacing w:before="0" w:line="240" w:lineRule="auto"/>
        <w:ind w:left="860" w:right="0" w:hanging="540"/>
        <w:jc w:val="both"/>
      </w:pPr>
      <w:r>
        <w:rPr>
          <w:rStyle w:val="CharStyle11"/>
        </w:rPr>
        <w:t>Smlouvu lze měnit nebo doplnit pouze dohodou Smluvních stran, a to formou písemných číslovaných dodatků podepsaných oběma Smluvními stranami.</w:t>
      </w:r>
    </w:p>
    <w:p>
      <w:pPr>
        <w:pStyle w:val="Style10"/>
        <w:keepNext w:val="0"/>
        <w:keepLines w:val="0"/>
        <w:widowControl w:val="0"/>
        <w:numPr>
          <w:ilvl w:val="1"/>
          <w:numId w:val="1"/>
        </w:numPr>
        <w:shd w:val="clear" w:color="auto" w:fill="auto"/>
        <w:tabs>
          <w:tab w:pos="868" w:val="left"/>
        </w:tabs>
        <w:bidi w:val="0"/>
        <w:spacing w:before="0" w:after="320" w:line="240" w:lineRule="auto"/>
        <w:ind w:left="860" w:right="0" w:hanging="540"/>
        <w:jc w:val="both"/>
      </w:pPr>
      <w:r>
        <w:rPr>
          <w:rStyle w:val="CharStyle11"/>
        </w:rPr>
        <w:t>Smluvní strany výslovně souhlasí s tím, aby byla Smlouva uvedena v Centrální evidenci smluv (CES) vedené Kupujícím, která je veřejně přístupná a která obsahuje údaje o Smluvních stranách, číselné označení Smlouvy, datum jejího podpisu a obsah Smlouvy. Smluvní strany prohlašují, že skutečnosti uvedené ve Smlouvě nepovažují za obchodní tajemství ve smyslu § 504 OZ a udělují svolení k jejich užití a zveřejnění bez stanovení jakýchkoli dalších podmínek.</w:t>
      </w:r>
    </w:p>
    <w:p>
      <w:pPr>
        <w:pStyle w:val="Style10"/>
        <w:keepNext w:val="0"/>
        <w:keepLines w:val="0"/>
        <w:widowControl w:val="0"/>
        <w:numPr>
          <w:ilvl w:val="1"/>
          <w:numId w:val="1"/>
        </w:numPr>
        <w:shd w:val="clear" w:color="auto" w:fill="auto"/>
        <w:tabs>
          <w:tab w:pos="868" w:val="left"/>
        </w:tabs>
        <w:bidi w:val="0"/>
        <w:spacing w:before="0" w:line="240" w:lineRule="auto"/>
        <w:ind w:left="860" w:right="0" w:hanging="540"/>
        <w:jc w:val="both"/>
      </w:pPr>
      <w:r>
        <w:rPr>
          <w:rStyle w:val="CharStyle11"/>
        </w:rPr>
        <w:t>Smluvní strany výslovně sjednávají, že uveřejnění Smlouvy v registru smluv dle zákona č. 340/2015 Sb., o zvláštních podmínkách účinnosti některých smluv, uveřejňování těchto smluv a o registru smluv, ve znění pozdějších předpisů (zákon o registru smluv), bude-li nutné, zajistí Kupující.</w:t>
      </w:r>
    </w:p>
    <w:p>
      <w:pPr>
        <w:pStyle w:val="Style10"/>
        <w:keepNext w:val="0"/>
        <w:keepLines w:val="0"/>
        <w:widowControl w:val="0"/>
        <w:numPr>
          <w:ilvl w:val="1"/>
          <w:numId w:val="1"/>
        </w:numPr>
        <w:shd w:val="clear" w:color="auto" w:fill="auto"/>
        <w:tabs>
          <w:tab w:pos="868" w:val="left"/>
        </w:tabs>
        <w:bidi w:val="0"/>
        <w:spacing w:before="0" w:line="240" w:lineRule="auto"/>
        <w:ind w:left="860" w:right="0" w:hanging="540"/>
        <w:jc w:val="both"/>
      </w:pPr>
      <w:r>
        <w:rPr>
          <w:rStyle w:val="CharStyle11"/>
        </w:rPr>
        <w:t>Smlouva nabývá platnosti dnem jejího podpisu oběma Smluvními stranami a účinnosti dnem jejího uveřejnění prostřednictvím registru smluv dle čl. 10.3 této Smlouvy. Od okamžiku podpisu Smlouvy jsou Smluvní strany obsahem Smlouvy a svými projevy ve Smlouvě učiněnými vázány.</w:t>
      </w:r>
    </w:p>
    <w:p>
      <w:pPr>
        <w:pStyle w:val="Style10"/>
        <w:keepNext w:val="0"/>
        <w:keepLines w:val="0"/>
        <w:widowControl w:val="0"/>
        <w:numPr>
          <w:ilvl w:val="1"/>
          <w:numId w:val="1"/>
        </w:numPr>
        <w:shd w:val="clear" w:color="auto" w:fill="auto"/>
        <w:tabs>
          <w:tab w:pos="868" w:val="left"/>
        </w:tabs>
        <w:bidi w:val="0"/>
        <w:spacing w:before="0" w:line="240" w:lineRule="auto"/>
        <w:ind w:left="860" w:right="0" w:hanging="540"/>
        <w:jc w:val="both"/>
      </w:pPr>
      <w:r>
        <w:rPr>
          <w:rStyle w:val="CharStyle11"/>
        </w:rPr>
        <w:t>Smlouva byla vyhotovena v pěti stejnopisech s platností originálu, přičemž Kupující obdrží čtyři (4) vyhotovení a prodávající jedno (1) vyhotovení. Předchozí věta neplatí, bude-li Smlouva uzavřena v elektronické podobě s připojením platných elektronických podpisů oprávněných zástupců Smluvních stran.</w:t>
      </w:r>
    </w:p>
    <w:p>
      <w:pPr>
        <w:pStyle w:val="Style10"/>
        <w:keepNext w:val="0"/>
        <w:keepLines w:val="0"/>
        <w:widowControl w:val="0"/>
        <w:numPr>
          <w:ilvl w:val="1"/>
          <w:numId w:val="1"/>
        </w:numPr>
        <w:shd w:val="clear" w:color="auto" w:fill="auto"/>
        <w:tabs>
          <w:tab w:pos="868" w:val="left"/>
        </w:tabs>
        <w:bidi w:val="0"/>
        <w:spacing w:before="0" w:line="240" w:lineRule="auto"/>
        <w:ind w:left="860" w:right="0" w:hanging="540"/>
        <w:jc w:val="both"/>
      </w:pPr>
      <w:r>
        <w:rPr>
          <w:rStyle w:val="CharStyle11"/>
        </w:rPr>
        <w:t>Smluvní strany prohlašují, že si Smlouvu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vlastnoruční podpisy.</w:t>
      </w:r>
    </w:p>
    <w:p>
      <w:pPr>
        <w:pStyle w:val="Style10"/>
        <w:keepNext w:val="0"/>
        <w:keepLines w:val="0"/>
        <w:widowControl w:val="0"/>
        <w:numPr>
          <w:ilvl w:val="1"/>
          <w:numId w:val="1"/>
        </w:numPr>
        <w:shd w:val="clear" w:color="auto" w:fill="auto"/>
        <w:tabs>
          <w:tab w:pos="868" w:val="left"/>
        </w:tabs>
        <w:bidi w:val="0"/>
        <w:spacing w:before="0" w:line="240" w:lineRule="auto"/>
        <w:ind w:left="0" w:right="0" w:firstLine="320"/>
        <w:jc w:val="left"/>
      </w:pPr>
      <w:r>
        <w:rPr>
          <w:rStyle w:val="CharStyle11"/>
        </w:rPr>
        <w:t>Nedílnou součástí Smlouvy jsou přílohy:</w:t>
      </w:r>
    </w:p>
    <w:p>
      <w:pPr>
        <w:pStyle w:val="Style10"/>
        <w:keepNext w:val="0"/>
        <w:keepLines w:val="0"/>
        <w:widowControl w:val="0"/>
        <w:shd w:val="clear" w:color="auto" w:fill="auto"/>
        <w:bidi w:val="0"/>
        <w:spacing w:before="0" w:line="240" w:lineRule="auto"/>
        <w:ind w:left="0" w:right="0" w:firstLine="860"/>
        <w:jc w:val="left"/>
      </w:pPr>
      <w:r>
        <w:rPr>
          <w:rStyle w:val="CharStyle11"/>
          <w:i/>
          <w:iCs/>
        </w:rPr>
        <w:t>Příloha č. 1 Technická specifikace</w:t>
      </w:r>
      <w:r>
        <w:br w:type="page"/>
      </w:r>
    </w:p>
    <w:p>
      <w:pPr>
        <w:pStyle w:val="Style2"/>
        <w:keepNext/>
        <w:keepLines/>
        <w:widowControl w:val="0"/>
        <w:shd w:val="clear" w:color="auto" w:fill="auto"/>
        <w:tabs>
          <w:tab w:pos="4902" w:val="left"/>
        </w:tabs>
        <w:bidi w:val="0"/>
        <w:spacing w:before="0" w:line="240" w:lineRule="auto"/>
        <w:ind w:left="0" w:right="0" w:firstLine="400"/>
        <w:jc w:val="left"/>
      </w:pPr>
      <w:bookmarkStart w:id="19" w:name="bookmark19"/>
      <w:r>
        <w:rPr>
          <w:rStyle w:val="CharStyle3"/>
          <w:b/>
          <w:bCs/>
        </w:rPr>
        <w:t>Za Kupujícího:</w:t>
        <w:tab/>
        <w:t>Za Prodávajícího:</w:t>
      </w:r>
      <w:bookmarkEnd w:id="19"/>
    </w:p>
    <w:p>
      <w:pPr>
        <w:pStyle w:val="Style10"/>
        <w:keepNext w:val="0"/>
        <w:keepLines w:val="0"/>
        <w:widowControl w:val="0"/>
        <w:shd w:val="clear" w:color="auto" w:fill="auto"/>
        <w:tabs>
          <w:tab w:leader="underscore" w:pos="1715" w:val="left"/>
          <w:tab w:leader="underscore" w:pos="3266" w:val="left"/>
        </w:tabs>
        <w:bidi w:val="0"/>
        <w:spacing w:before="0" w:after="0" w:line="240" w:lineRule="auto"/>
        <w:ind w:left="0" w:right="0" w:firstLine="400"/>
        <w:jc w:val="left"/>
        <w:sectPr>
          <w:headerReference w:type="default" r:id="rId5"/>
          <w:footerReference w:type="default" r:id="rId6"/>
          <w:footnotePr>
            <w:pos w:val="pageBottom"/>
            <w:numFmt w:val="decimal"/>
            <w:numRestart w:val="continuous"/>
          </w:footnotePr>
          <w:pgSz w:w="11900" w:h="16840"/>
          <w:pgMar w:top="1417" w:right="1085" w:bottom="1743" w:left="1091" w:header="0" w:footer="3" w:gutter="0"/>
          <w:pgNumType w:start="1"/>
          <w:cols w:space="720"/>
          <w:noEndnote/>
          <w:rtlGutter w:val="0"/>
          <w:docGrid w:linePitch="360"/>
        </w:sectPr>
      </w:pPr>
      <w:r>
        <w:rPr>
          <w:rStyle w:val="CharStyle11"/>
        </w:rPr>
        <w:t xml:space="preserve">V </w:t>
        <w:tab/>
        <w:t xml:space="preserve"> dne </w:t>
        <w:tab/>
        <w:t xml:space="preserve"> V Praze dne 4.12.2024</w:t>
      </w:r>
    </w:p>
    <w:p>
      <w:pPr>
        <w:widowControl w:val="0"/>
        <w:spacing w:line="75" w:lineRule="exact"/>
        <w:rPr>
          <w:sz w:val="6"/>
          <w:szCs w:val="6"/>
        </w:rPr>
      </w:pPr>
    </w:p>
    <w:p>
      <w:pPr>
        <w:widowControl w:val="0"/>
        <w:spacing w:line="1" w:lineRule="exact"/>
        <w:sectPr>
          <w:footnotePr>
            <w:pos w:val="pageBottom"/>
            <w:numFmt w:val="decimal"/>
            <w:numRestart w:val="continuous"/>
          </w:footnotePr>
          <w:type w:val="continuous"/>
          <w:pgSz w:w="11900" w:h="16840"/>
          <w:pgMar w:top="1417" w:right="0" w:bottom="11895" w:left="0" w:header="0" w:footer="3" w:gutter="0"/>
          <w:cols w:space="720"/>
          <w:noEndnote/>
          <w:rtlGutter w:val="0"/>
          <w:docGrid w:linePitch="360"/>
        </w:sectPr>
      </w:pPr>
    </w:p>
    <w:p>
      <w:pPr>
        <w:widowControl w:val="0"/>
        <w:spacing w:line="1" w:lineRule="exact"/>
      </w:pPr>
      <w:r>
        <w:drawing>
          <wp:anchor distT="0" distB="0" distL="114300" distR="114300" simplePos="0" relativeHeight="125829378" behindDoc="0" locked="0" layoutInCell="1" allowOverlap="1">
            <wp:simplePos x="0" y="0"/>
            <wp:positionH relativeFrom="page">
              <wp:posOffset>3810635</wp:posOffset>
            </wp:positionH>
            <wp:positionV relativeFrom="paragraph">
              <wp:posOffset>12700</wp:posOffset>
            </wp:positionV>
            <wp:extent cx="1054735" cy="579120"/>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1054735" cy="579120"/>
                    </a:xfrm>
                    <a:prstGeom prst="rect"/>
                  </pic:spPr>
                </pic:pic>
              </a:graphicData>
            </a:graphic>
          </wp:anchor>
        </w:drawing>
      </w:r>
    </w:p>
    <w:p>
      <w:pPr>
        <w:pStyle w:val="Style24"/>
        <w:keepNext/>
        <w:keepLines/>
        <w:widowControl w:val="0"/>
        <w:shd w:val="clear" w:color="auto" w:fill="auto"/>
        <w:bidi w:val="0"/>
        <w:spacing w:before="0" w:after="0"/>
        <w:ind w:left="0" w:right="0" w:firstLine="0"/>
        <w:jc w:val="left"/>
      </w:pPr>
      <w:bookmarkStart w:id="21" w:name="bookmark21"/>
      <w:r>
        <w:rPr>
          <w:rStyle w:val="CharStyle25"/>
        </w:rPr>
        <w:t>Mgr. Dagmar Škorpíková</w:t>
      </w:r>
      <w:bookmarkEnd w:id="21"/>
    </w:p>
    <w:p>
      <w:pPr>
        <w:spacing w:lineRule="exact" w:line="1"/>
        <w:rPr>
          <w:sz w:val="2"/>
          <w:szCs w:val="2"/>
        </w:rPr>
      </w:pPr>
      <w:r>
        <w:br w:type="column"/>
      </w:r>
    </w:p>
    <w:p>
      <w:pPr>
        <w:pStyle w:val="Style26"/>
        <w:keepNext w:val="0"/>
        <w:keepLines w:val="0"/>
        <w:widowControl w:val="0"/>
        <w:shd w:val="clear" w:color="auto" w:fill="auto"/>
        <w:bidi w:val="0"/>
        <w:spacing w:before="0" w:after="0" w:line="240" w:lineRule="auto"/>
        <w:ind w:left="0" w:right="0" w:firstLine="0"/>
        <w:jc w:val="left"/>
      </w:pPr>
      <w:r>
        <w:rPr>
          <w:rStyle w:val="CharStyle27"/>
        </w:rPr>
        <w:t xml:space="preserve">Digitálně podepsal Mgr. Dagmar Škorpíková Datum: 2024.12.09 </w:t>
      </w:r>
      <w:r>
        <w:rPr>
          <w:rStyle w:val="CharStyle27"/>
          <w:u w:val="single"/>
        </w:rPr>
        <w:t>10:27:27 +</w:t>
      </w:r>
      <w:r>
        <w:rPr>
          <w:rStyle w:val="CharStyle27"/>
        </w:rPr>
        <w:t>01'00'</w:t>
      </w:r>
    </w:p>
    <w:p>
      <w:pPr>
        <w:pStyle w:val="Style10"/>
        <w:keepNext w:val="0"/>
        <w:keepLines w:val="0"/>
        <w:widowControl w:val="0"/>
        <w:shd w:val="clear" w:color="auto" w:fill="auto"/>
        <w:bidi w:val="0"/>
        <w:spacing w:before="0" w:after="0" w:line="240" w:lineRule="auto"/>
        <w:ind w:left="0" w:right="0" w:firstLine="0"/>
        <w:jc w:val="center"/>
      </w:pPr>
      <w:r>
        <w:rPr>
          <w:rStyle w:val="CharStyle11"/>
          <w:b/>
          <w:bCs/>
          <w:color w:val="231C21"/>
        </w:rPr>
        <w:t xml:space="preserve">ALUXXON </w:t>
      </w:r>
      <w:r>
        <w:rPr>
          <w:rStyle w:val="CharStyle11"/>
          <w:color w:val="231C21"/>
        </w:rPr>
        <w:t>- TABULE s.r.o.</w:t>
      </w:r>
    </w:p>
    <w:p>
      <w:pPr>
        <w:pStyle w:val="Style31"/>
        <w:keepNext w:val="0"/>
        <w:keepLines w:val="0"/>
        <w:widowControl w:val="0"/>
        <w:shd w:val="clear" w:color="auto" w:fill="auto"/>
        <w:bidi w:val="0"/>
        <w:spacing w:before="0" w:after="0"/>
        <w:ind w:left="0" w:right="0" w:firstLine="0"/>
        <w:jc w:val="center"/>
        <w:sectPr>
          <w:footnotePr>
            <w:pos w:val="pageBottom"/>
            <w:numFmt w:val="decimal"/>
            <w:numRestart w:val="continuous"/>
          </w:footnotePr>
          <w:type w:val="continuous"/>
          <w:pgSz w:w="11900" w:h="16840"/>
          <w:pgMar w:top="1417" w:right="1094" w:bottom="11895" w:left="1080" w:header="0" w:footer="3" w:gutter="0"/>
          <w:cols w:num="3" w:space="720" w:equalWidth="0">
            <w:col w:w="2310" w:space="100"/>
            <w:col w:w="2184" w:space="2669"/>
            <w:col w:w="2462"/>
          </w:cols>
          <w:noEndnote/>
          <w:rtlGutter w:val="0"/>
          <w:docGrid w:linePitch="360"/>
        </w:sectPr>
      </w:pPr>
      <w:r>
        <w:rPr>
          <w:rStyle w:val="CharStyle32"/>
        </w:rPr>
        <w:t xml:space="preserve">V Parku 1325/4. 276 01 </w:t>
      </w:r>
      <w:r>
        <w:rPr>
          <w:rStyle w:val="CharStyle32"/>
          <w:color w:val="000000"/>
        </w:rPr>
        <w:t>Mánik</w:t>
        <w:br/>
      </w:r>
      <w:r>
        <w:rPr>
          <w:rStyle w:val="CharStyle32"/>
          <w:b/>
          <w:bCs/>
          <w:sz w:val="15"/>
          <w:szCs w:val="15"/>
        </w:rPr>
        <w:t xml:space="preserve">Tel.: </w:t>
      </w:r>
      <w:r>
        <w:rPr>
          <w:rStyle w:val="CharStyle32"/>
        </w:rPr>
        <w:t xml:space="preserve">315 </w:t>
      </w:r>
      <w:r>
        <w:rPr>
          <w:rStyle w:val="CharStyle32"/>
          <w:color w:val="373737"/>
        </w:rPr>
        <w:t xml:space="preserve">670 330, </w:t>
      </w:r>
      <w:r>
        <w:rPr>
          <w:rStyle w:val="CharStyle32"/>
        </w:rPr>
        <w:t>Fax 315 670 331</w:t>
        <w:br/>
      </w:r>
      <w:r>
        <w:fldChar w:fldCharType="begin"/>
      </w:r>
      <w:r>
        <w:rPr/>
        <w:instrText> HYPERLINK "http://www.keramicketabule.cz" </w:instrText>
      </w:r>
      <w:r>
        <w:fldChar w:fldCharType="separate"/>
      </w:r>
      <w:r>
        <w:rPr>
          <w:rStyle w:val="CharStyle32"/>
          <w:lang w:val="en-US" w:eastAsia="en-US"/>
        </w:rPr>
        <w:t>www.keramicketabule.cz</w:t>
      </w:r>
      <w:r>
        <w:fldChar w:fldCharType="end"/>
      </w:r>
      <w:r>
        <w:rPr>
          <w:rStyle w:val="CharStyle32"/>
          <w:lang w:val="en-US" w:eastAsia="en-US"/>
        </w:rPr>
        <w:br/>
      </w:r>
      <w:r>
        <w:rPr>
          <w:rStyle w:val="CharStyle32"/>
        </w:rPr>
        <w:t xml:space="preserve">e-mail: </w:t>
      </w:r>
      <w:r>
        <w:fldChar w:fldCharType="begin"/>
      </w:r>
      <w:r>
        <w:rPr/>
        <w:instrText> HYPERLINK "mailto:keramicketabule@seznam.cz" </w:instrText>
      </w:r>
      <w:r>
        <w:fldChar w:fldCharType="separate"/>
      </w:r>
      <w:r>
        <w:rPr>
          <w:rStyle w:val="CharStyle32"/>
          <w:lang w:val="en-US" w:eastAsia="en-US"/>
        </w:rPr>
        <w:t>keramicketabule@seznam.cz</w:t>
      </w:r>
      <w:r>
        <w:fldChar w:fldCharType="end"/>
      </w:r>
      <w:r>
        <w:rPr>
          <w:rStyle w:val="CharStyle32"/>
          <w:lang w:val="en-US" w:eastAsia="en-US"/>
        </w:rPr>
        <w:br/>
      </w:r>
      <w:r>
        <w:rPr>
          <w:rStyle w:val="CharStyle32"/>
        </w:rPr>
        <w:t>IČO: 2715K27. DIČ: CZ27151727</w:t>
      </w:r>
    </w:p>
    <w:p>
      <w:pPr>
        <w:pStyle w:val="Style2"/>
        <w:keepNext/>
        <w:keepLines/>
        <w:widowControl w:val="0"/>
        <w:shd w:val="clear" w:color="auto" w:fill="auto"/>
        <w:bidi w:val="0"/>
        <w:spacing w:before="0" w:after="0" w:line="240" w:lineRule="auto"/>
        <w:ind w:left="0" w:right="0" w:firstLine="0"/>
        <w:jc w:val="left"/>
      </w:pPr>
      <w:bookmarkStart w:id="23" w:name="bookmark23"/>
      <w:r>
        <w:rPr>
          <w:rStyle w:val="CharStyle3"/>
          <w:b/>
          <w:bCs/>
        </w:rPr>
        <w:t>Gymnázium Na Zatlance 11</w:t>
      </w:r>
      <w:bookmarkEnd w:id="23"/>
    </w:p>
    <w:p>
      <w:pPr>
        <w:pStyle w:val="Style10"/>
        <w:keepNext w:val="0"/>
        <w:keepLines w:val="0"/>
        <w:widowControl w:val="0"/>
        <w:shd w:val="clear" w:color="auto" w:fill="auto"/>
        <w:bidi w:val="0"/>
        <w:spacing w:before="0" w:after="0" w:line="240" w:lineRule="auto"/>
        <w:ind w:left="0" w:right="0" w:firstLine="0"/>
        <w:jc w:val="left"/>
      </w:pPr>
      <w:r>
        <w:rPr>
          <w:rStyle w:val="CharStyle11"/>
        </w:rPr>
        <w:t>Mgr. Dagmar Škorpíková ředitelka</w:t>
      </w:r>
    </w:p>
    <w:p>
      <w:pPr>
        <w:spacing w:lineRule="exact" w:line="1"/>
        <w:rPr>
          <w:sz w:val="2"/>
          <w:szCs w:val="2"/>
        </w:rPr>
      </w:pPr>
      <w:r>
        <w:br w:type="column"/>
      </w:r>
    </w:p>
    <w:p>
      <w:pPr>
        <w:pStyle w:val="Style2"/>
        <w:keepNext/>
        <w:keepLines/>
        <w:widowControl w:val="0"/>
        <w:shd w:val="clear" w:color="auto" w:fill="auto"/>
        <w:bidi w:val="0"/>
        <w:spacing w:before="0" w:after="0" w:line="233" w:lineRule="auto"/>
        <w:ind w:left="0" w:right="0" w:firstLine="0"/>
        <w:jc w:val="left"/>
      </w:pPr>
      <w:bookmarkStart w:id="25" w:name="bookmark25"/>
      <w:r>
        <w:rPr>
          <w:rStyle w:val="CharStyle3"/>
          <w:b/>
          <w:bCs/>
        </w:rPr>
        <w:t>ALUXXON-TABULE s.r.o.</w:t>
      </w:r>
      <w:bookmarkEnd w:id="25"/>
    </w:p>
    <w:p>
      <w:pPr>
        <w:pStyle w:val="Style10"/>
        <w:keepNext w:val="0"/>
        <w:keepLines w:val="0"/>
        <w:widowControl w:val="0"/>
        <w:shd w:val="clear" w:color="auto" w:fill="auto"/>
        <w:bidi w:val="0"/>
        <w:spacing w:before="0" w:after="0" w:line="233" w:lineRule="auto"/>
        <w:ind w:left="0" w:right="0" w:firstLine="0"/>
        <w:jc w:val="left"/>
        <w:sectPr>
          <w:footnotePr>
            <w:pos w:val="pageBottom"/>
            <w:numFmt w:val="decimal"/>
            <w:numRestart w:val="continuous"/>
          </w:footnotePr>
          <w:type w:val="continuous"/>
          <w:pgSz w:w="11900" w:h="16840"/>
          <w:pgMar w:top="1417" w:right="3427" w:bottom="1417" w:left="1464" w:header="0" w:footer="3" w:gutter="0"/>
          <w:cols w:num="2" w:space="1857"/>
          <w:noEndnote/>
          <w:rtlGutter w:val="0"/>
          <w:docGrid w:linePitch="360"/>
        </w:sectPr>
      </w:pPr>
      <w:r>
        <w:rPr>
          <w:rStyle w:val="CharStyle11"/>
        </w:rPr>
        <w:t>Jan Rubáš jednatel společnosti</w:t>
      </w:r>
    </w:p>
    <w:sectPr>
      <w:footnotePr>
        <w:pos w:val="pageBottom"/>
        <w:numFmt w:val="decimal"/>
        <w:numRestart w:val="continuous"/>
      </w:footnotePr>
      <w:type w:val="continuous"/>
      <w:pgSz w:w="11900" w:h="16840"/>
      <w:pgMar w:top="1417" w:right="3427" w:bottom="1417" w:left="1464" w:header="0" w:footer="3" w:gutter="0"/>
      <w:cols w:num="2" w:space="1857"/>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6602730</wp:posOffset>
              </wp:positionH>
              <wp:positionV relativeFrom="page">
                <wp:posOffset>9933940</wp:posOffset>
              </wp:positionV>
              <wp:extent cx="42545" cy="97790"/>
              <wp:wrapNone/>
              <wp:docPr id="7" name="Shape 7"/>
              <a:graphic xmlns:a="http://schemas.openxmlformats.org/drawingml/2006/main">
                <a:graphicData uri="http://schemas.microsoft.com/office/word/2010/wordprocessingShape">
                  <wps:wsp>
                    <wps:cNvSpPr txBox="1"/>
                    <wps:spPr>
                      <a:xfrm>
                        <a:ext cx="42545" cy="977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Sylfaen" w:eastAsia="Sylfaen" w:hAnsi="Sylfaen" w:cs="Sylfaen"/>
                                <w:sz w:val="22"/>
                                <w:szCs w:val="22"/>
                              </w:rPr>
                              <w:t>#</w:t>
                            </w:r>
                          </w:fldSimple>
                        </w:p>
                      </w:txbxContent>
                    </wps:txbx>
                    <wps:bodyPr wrap="none" lIns="0" tIns="0" rIns="0" bIns="0">
                      <a:spAutoFit/>
                    </wps:bodyPr>
                  </wps:wsp>
                </a:graphicData>
              </a:graphic>
            </wp:anchor>
          </w:drawing>
        </mc:Choice>
        <mc:Fallback>
          <w:pict>
            <v:shape id="_x0000_s1033" type="#_x0000_t202" style="position:absolute;margin-left:519.89999999999998pt;margin-top:782.20000000000005pt;width:3.3500000000000001pt;height:7.7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5"/>
                          <w:rFonts w:ascii="Sylfaen" w:eastAsia="Sylfaen" w:hAnsi="Sylfaen" w:cs="Sylfaen"/>
                          <w:sz w:val="22"/>
                          <w:szCs w:val="22"/>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896620</wp:posOffset>
              </wp:positionH>
              <wp:positionV relativeFrom="page">
                <wp:posOffset>466725</wp:posOffset>
              </wp:positionV>
              <wp:extent cx="2557145" cy="323215"/>
              <wp:wrapNone/>
              <wp:docPr id="1" name="Shape 1"/>
              <a:graphic xmlns:a="http://schemas.openxmlformats.org/drawingml/2006/main">
                <a:graphicData uri="http://schemas.microsoft.com/office/word/2010/wordprocessingShape">
                  <wps:wsp>
                    <wps:cNvSpPr txBox="1"/>
                    <wps:spPr>
                      <a:xfrm>
                        <a:ext cx="2557145" cy="3232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Style w:val="CharStyle5"/>
                              <w:rFonts w:ascii="Arial" w:eastAsia="Arial" w:hAnsi="Arial" w:cs="Arial"/>
                              <w:b/>
                              <w:bCs/>
                              <w:color w:val="373737"/>
                              <w:sz w:val="44"/>
                              <w:szCs w:val="44"/>
                            </w:rPr>
                            <w:t xml:space="preserve">7759ÍI </w:t>
                          </w:r>
                          <w:r>
                            <w:rPr>
                              <w:rStyle w:val="CharStyle5"/>
                              <w:rFonts w:ascii="Arial" w:eastAsia="Arial" w:hAnsi="Arial" w:cs="Arial"/>
                              <w:color w:val="373737"/>
                              <w:sz w:val="26"/>
                              <w:szCs w:val="26"/>
                            </w:rPr>
                            <w:t>GymNázium</w:t>
                          </w:r>
                        </w:p>
                        <w:p>
                          <w:pPr>
                            <w:pStyle w:val="Style4"/>
                            <w:keepNext w:val="0"/>
                            <w:keepLines w:val="0"/>
                            <w:widowControl w:val="0"/>
                            <w:shd w:val="clear" w:color="auto" w:fill="auto"/>
                            <w:bidi w:val="0"/>
                            <w:spacing w:before="0" w:after="0" w:line="240" w:lineRule="auto"/>
                            <w:ind w:left="0" w:right="0" w:firstLine="0"/>
                            <w:jc w:val="left"/>
                            <w:rPr>
                              <w:sz w:val="26"/>
                              <w:szCs w:val="26"/>
                            </w:rPr>
                          </w:pPr>
                          <w:r>
                            <w:rPr>
                              <w:rStyle w:val="CharStyle5"/>
                              <w:rFonts w:ascii="Arial" w:eastAsia="Arial" w:hAnsi="Arial" w:cs="Arial"/>
                              <w:b/>
                              <w:bCs/>
                              <w:color w:val="373737"/>
                              <w:sz w:val="44"/>
                              <w:szCs w:val="44"/>
                            </w:rPr>
                            <w:t xml:space="preserve">£CCww </w:t>
                          </w:r>
                          <w:r>
                            <w:rPr>
                              <w:rStyle w:val="CharStyle5"/>
                              <w:rFonts w:ascii="Arial" w:eastAsia="Arial" w:hAnsi="Arial" w:cs="Arial"/>
                              <w:color w:val="373737"/>
                              <w:sz w:val="26"/>
                              <w:szCs w:val="26"/>
                            </w:rPr>
                            <w:t>NaZatlaNce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600000000000009pt;margin-top:36.75pt;width:201.34999999999999pt;height:25.44999999999999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6"/>
                        <w:szCs w:val="26"/>
                      </w:rPr>
                    </w:pPr>
                    <w:r>
                      <w:rPr>
                        <w:rStyle w:val="CharStyle5"/>
                        <w:rFonts w:ascii="Arial" w:eastAsia="Arial" w:hAnsi="Arial" w:cs="Arial"/>
                        <w:b/>
                        <w:bCs/>
                        <w:color w:val="373737"/>
                        <w:sz w:val="44"/>
                        <w:szCs w:val="44"/>
                      </w:rPr>
                      <w:t xml:space="preserve">7759ÍI </w:t>
                    </w:r>
                    <w:r>
                      <w:rPr>
                        <w:rStyle w:val="CharStyle5"/>
                        <w:rFonts w:ascii="Arial" w:eastAsia="Arial" w:hAnsi="Arial" w:cs="Arial"/>
                        <w:color w:val="373737"/>
                        <w:sz w:val="26"/>
                        <w:szCs w:val="26"/>
                      </w:rPr>
                      <w:t>GymNázium</w:t>
                    </w:r>
                  </w:p>
                  <w:p>
                    <w:pPr>
                      <w:pStyle w:val="Style4"/>
                      <w:keepNext w:val="0"/>
                      <w:keepLines w:val="0"/>
                      <w:widowControl w:val="0"/>
                      <w:shd w:val="clear" w:color="auto" w:fill="auto"/>
                      <w:bidi w:val="0"/>
                      <w:spacing w:before="0" w:after="0" w:line="240" w:lineRule="auto"/>
                      <w:ind w:left="0" w:right="0" w:firstLine="0"/>
                      <w:jc w:val="left"/>
                      <w:rPr>
                        <w:sz w:val="26"/>
                        <w:szCs w:val="26"/>
                      </w:rPr>
                    </w:pPr>
                    <w:r>
                      <w:rPr>
                        <w:rStyle w:val="CharStyle5"/>
                        <w:rFonts w:ascii="Arial" w:eastAsia="Arial" w:hAnsi="Arial" w:cs="Arial"/>
                        <w:b/>
                        <w:bCs/>
                        <w:color w:val="373737"/>
                        <w:sz w:val="44"/>
                        <w:szCs w:val="44"/>
                      </w:rPr>
                      <w:t xml:space="preserve">£CCww </w:t>
                    </w:r>
                    <w:r>
                      <w:rPr>
                        <w:rStyle w:val="CharStyle5"/>
                        <w:rFonts w:ascii="Arial" w:eastAsia="Arial" w:hAnsi="Arial" w:cs="Arial"/>
                        <w:color w:val="373737"/>
                        <w:sz w:val="26"/>
                        <w:szCs w:val="26"/>
                      </w:rPr>
                      <w:t>NaZatlaNce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3771265</wp:posOffset>
              </wp:positionH>
              <wp:positionV relativeFrom="page">
                <wp:posOffset>497205</wp:posOffset>
              </wp:positionV>
              <wp:extent cx="1515110" cy="295910"/>
              <wp:wrapNone/>
              <wp:docPr id="3" name="Shape 3"/>
              <a:graphic xmlns:a="http://schemas.openxmlformats.org/drawingml/2006/main">
                <a:graphicData uri="http://schemas.microsoft.com/office/word/2010/wordprocessingShape">
                  <wps:wsp>
                    <wps:cNvSpPr txBox="1"/>
                    <wps:spPr>
                      <a:xfrm>
                        <a:ext cx="1515110" cy="2959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Gymnázium, Praha 5, Na Zatlance 11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Na Zatlance 11/1330,150 00 Praha 5</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IČO: 61385271</w:t>
                          </w:r>
                        </w:p>
                      </w:txbxContent>
                    </wps:txbx>
                    <wps:bodyPr wrap="none" lIns="0" tIns="0" rIns="0" bIns="0">
                      <a:spAutoFit/>
                    </wps:bodyPr>
                  </wps:wsp>
                </a:graphicData>
              </a:graphic>
            </wp:anchor>
          </w:drawing>
        </mc:Choice>
        <mc:Fallback>
          <w:pict>
            <v:shape id="_x0000_s1029" type="#_x0000_t202" style="position:absolute;margin-left:296.94999999999999pt;margin-top:39.149999999999999pt;width:119.3pt;height:23.3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Gymnázium, Praha 5, Na Zatlance 11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Na Zatlance 11/1330,150 00 Praha 5</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IČO: 61385271</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5633720</wp:posOffset>
              </wp:positionH>
              <wp:positionV relativeFrom="page">
                <wp:posOffset>497205</wp:posOffset>
              </wp:positionV>
              <wp:extent cx="963295" cy="311150"/>
              <wp:wrapNone/>
              <wp:docPr id="5" name="Shape 5"/>
              <a:graphic xmlns:a="http://schemas.openxmlformats.org/drawingml/2006/main">
                <a:graphicData uri="http://schemas.microsoft.com/office/word/2010/wordprocessingShape">
                  <wps:wsp>
                    <wps:cNvSpPr txBox="1"/>
                    <wps:spPr>
                      <a:xfrm>
                        <a:ext cx="963295"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kancelář: 226 802 621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ředitelna: 226 802 622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lang w:val="en-US" w:eastAsia="en-US"/>
                            </w:rPr>
                            <w:t>reditelka@zatlanka.cz</w:t>
                          </w:r>
                        </w:p>
                      </w:txbxContent>
                    </wps:txbx>
                    <wps:bodyPr wrap="none" lIns="0" tIns="0" rIns="0" bIns="0">
                      <a:spAutoFit/>
                    </wps:bodyPr>
                  </wps:wsp>
                </a:graphicData>
              </a:graphic>
            </wp:anchor>
          </w:drawing>
        </mc:Choice>
        <mc:Fallback>
          <w:pict>
            <v:shape id="_x0000_s1031" type="#_x0000_t202" style="position:absolute;margin-left:443.60000000000002pt;margin-top:39.149999999999999pt;width:75.850000000000009pt;height:24.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kancelář: 226 802 621</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rPr>
                      <w:t>ředitelna: 226 802 622</w:t>
                    </w:r>
                  </w:p>
                  <w:p>
                    <w:pPr>
                      <w:pStyle w:val="Style4"/>
                      <w:keepNext w:val="0"/>
                      <w:keepLines w:val="0"/>
                      <w:widowControl w:val="0"/>
                      <w:shd w:val="clear" w:color="auto" w:fill="auto"/>
                      <w:bidi w:val="0"/>
                      <w:spacing w:before="0" w:after="0" w:line="240" w:lineRule="auto"/>
                      <w:ind w:left="0" w:right="0" w:firstLine="0"/>
                      <w:jc w:val="left"/>
                      <w:rPr>
                        <w:sz w:val="14"/>
                        <w:szCs w:val="14"/>
                      </w:rPr>
                    </w:pPr>
                    <w:r>
                      <w:rPr>
                        <w:rStyle w:val="CharStyle5"/>
                        <w:rFonts w:ascii="Arial" w:eastAsia="Arial" w:hAnsi="Arial" w:cs="Arial"/>
                        <w:color w:val="373737"/>
                        <w:sz w:val="14"/>
                        <w:szCs w:val="14"/>
                        <w:lang w:val="en-US" w:eastAsia="en-US"/>
                      </w:rPr>
                      <w:t>reditelka@zatlanka.cz</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Sylfaen" w:eastAsia="Sylfaen" w:hAnsi="Sylfaen" w:cs="Sylfaen"/>
        <w:b/>
        <w:bCs/>
        <w:i w:val="0"/>
        <w:iCs w:val="0"/>
        <w:smallCaps w:val="0"/>
        <w:strike w:val="0"/>
        <w:color w:val="000000"/>
        <w:spacing w:val="0"/>
        <w:w w:val="100"/>
        <w:position w:val="0"/>
        <w:sz w:val="22"/>
        <w:szCs w:val="22"/>
        <w:u w:val="none"/>
        <w:shd w:val="clear" w:color="auto" w:fill="auto"/>
        <w:lang w:val="cs-CZ" w:eastAsia="cs-CZ"/>
      </w:rPr>
    </w:lvl>
    <w:lvl w:ilvl="1">
      <w:start w:val="2"/>
      <w:numFmt w:val="decimal"/>
      <w:lvlText w:val="%1.%2."/>
      <w:rPr>
        <w:rFonts w:ascii="Sylfaen" w:eastAsia="Sylfaen" w:hAnsi="Sylfaen" w:cs="Sylfaen"/>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2">
    <w:multiLevelType w:val="multilevel"/>
    <w:lvl w:ilvl="0">
      <w:start w:val="1"/>
      <w:numFmt w:val="bullet"/>
      <w:lvlText w:val="-"/>
      <w:rPr>
        <w:rFonts w:ascii="Sylfaen" w:eastAsia="Sylfaen" w:hAnsi="Sylfaen" w:cs="Sylfaen"/>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4">
    <w:multiLevelType w:val="multilevel"/>
    <w:lvl w:ilvl="0">
      <w:start w:val="1"/>
      <w:numFmt w:val="bullet"/>
      <w:lvlText w:val="-"/>
      <w:rPr>
        <w:rFonts w:ascii="Sylfaen" w:eastAsia="Sylfaen" w:hAnsi="Sylfaen" w:cs="Sylfaen"/>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6">
    <w:multiLevelType w:val="multilevel"/>
    <w:lvl w:ilvl="0">
      <w:start w:val="1"/>
      <w:numFmt w:val="bullet"/>
      <w:lvlText w:val="-"/>
      <w:rPr>
        <w:rFonts w:ascii="Sylfaen" w:eastAsia="Sylfaen" w:hAnsi="Sylfaen" w:cs="Sylfaen"/>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8">
    <w:multiLevelType w:val="multilevel"/>
    <w:lvl w:ilvl="0">
      <w:start w:val="1"/>
      <w:numFmt w:val="lowerLetter"/>
      <w:lvlText w:val="%1)"/>
      <w:rPr>
        <w:rFonts w:ascii="Sylfaen" w:eastAsia="Sylfaen" w:hAnsi="Sylfaen" w:cs="Sylfaen"/>
        <w:b w:val="0"/>
        <w:bCs w:val="0"/>
        <w:i w:val="0"/>
        <w:iCs w:val="0"/>
        <w:smallCaps w:val="0"/>
        <w:strike w:val="0"/>
        <w:color w:val="000000"/>
        <w:spacing w:val="0"/>
        <w:w w:val="100"/>
        <w:position w:val="0"/>
        <w:sz w:val="22"/>
        <w:szCs w:val="22"/>
        <w:u w:val="none"/>
        <w:shd w:val="clear" w:color="auto" w:fill="auto"/>
        <w:lang w:val="cs-CZ" w:eastAsia="cs-CZ"/>
      </w:rPr>
    </w:lvl>
  </w:abstractNum>
  <w:abstractNum w:abstractNumId="10">
    <w:multiLevelType w:val="multilevel"/>
    <w:lvl w:ilvl="0">
      <w:start w:val="1"/>
      <w:numFmt w:val="lowerLetter"/>
      <w:lvlText w:val="%1)"/>
      <w:rPr>
        <w:rFonts w:ascii="Sylfaen" w:eastAsia="Sylfaen" w:hAnsi="Sylfaen" w:cs="Sylfaen"/>
        <w:b w:val="0"/>
        <w:bCs w:val="0"/>
        <w:i w:val="0"/>
        <w:iCs w:val="0"/>
        <w:smallCaps w:val="0"/>
        <w:strike w:val="0"/>
        <w:color w:val="000000"/>
        <w:spacing w:val="0"/>
        <w:w w:val="100"/>
        <w:position w:val="0"/>
        <w:sz w:val="22"/>
        <w:szCs w:val="22"/>
        <w:u w:val="none"/>
        <w:shd w:val="clear" w:color="auto" w:fill="auto"/>
        <w:lang w:val="cs-CZ" w:eastAsia="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rPr>
  </w:style>
  <w:style w:type="character" w:customStyle="1" w:styleId="CharStyle3">
    <w:name w:val="Nadpis #2_"/>
    <w:basedOn w:val="DefaultParagraphFont"/>
    <w:link w:val="Style2"/>
    <w:rPr>
      <w:rFonts w:ascii="Sylfaen" w:eastAsia="Sylfaen" w:hAnsi="Sylfaen" w:cs="Sylfaen"/>
      <w:b/>
      <w:bCs/>
      <w:i w:val="0"/>
      <w:iCs w:val="0"/>
      <w:smallCaps w:val="0"/>
      <w:strike w:val="0"/>
      <w:sz w:val="22"/>
      <w:szCs w:val="22"/>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Základní text_"/>
    <w:basedOn w:val="DefaultParagraphFont"/>
    <w:link w:val="Style10"/>
    <w:rPr>
      <w:rFonts w:ascii="Sylfaen" w:eastAsia="Sylfaen" w:hAnsi="Sylfaen" w:cs="Sylfaen"/>
      <w:b w:val="0"/>
      <w:bCs w:val="0"/>
      <w:i w:val="0"/>
      <w:iCs w:val="0"/>
      <w:smallCaps w:val="0"/>
      <w:strike w:val="0"/>
      <w:sz w:val="22"/>
      <w:szCs w:val="22"/>
      <w:u w:val="none"/>
    </w:rPr>
  </w:style>
  <w:style w:type="character" w:customStyle="1" w:styleId="CharStyle14">
    <w:name w:val="Titulek tabulky_"/>
    <w:basedOn w:val="DefaultParagraphFont"/>
    <w:link w:val="Style13"/>
    <w:rPr>
      <w:rFonts w:ascii="Sylfaen" w:eastAsia="Sylfaen" w:hAnsi="Sylfaen" w:cs="Sylfaen"/>
      <w:b w:val="0"/>
      <w:bCs w:val="0"/>
      <w:i w:val="0"/>
      <w:iCs w:val="0"/>
      <w:smallCaps w:val="0"/>
      <w:strike w:val="0"/>
      <w:sz w:val="22"/>
      <w:szCs w:val="22"/>
      <w:u w:val="none"/>
    </w:rPr>
  </w:style>
  <w:style w:type="character" w:customStyle="1" w:styleId="CharStyle17">
    <w:name w:val="Jiné_"/>
    <w:basedOn w:val="DefaultParagraphFont"/>
    <w:link w:val="Style16"/>
    <w:rPr>
      <w:rFonts w:ascii="Sylfaen" w:eastAsia="Sylfaen" w:hAnsi="Sylfaen" w:cs="Sylfaen"/>
      <w:b w:val="0"/>
      <w:bCs w:val="0"/>
      <w:i w:val="0"/>
      <w:iCs w:val="0"/>
      <w:smallCaps w:val="0"/>
      <w:strike w:val="0"/>
      <w:sz w:val="22"/>
      <w:szCs w:val="22"/>
      <w:u w:val="none"/>
    </w:rPr>
  </w:style>
  <w:style w:type="character" w:customStyle="1" w:styleId="CharStyle25">
    <w:name w:val="Nadpis #1_"/>
    <w:basedOn w:val="DefaultParagraphFont"/>
    <w:link w:val="Style24"/>
    <w:rPr>
      <w:rFonts w:ascii="Arial" w:eastAsia="Arial" w:hAnsi="Arial" w:cs="Arial"/>
      <w:b w:val="0"/>
      <w:bCs w:val="0"/>
      <w:i w:val="0"/>
      <w:iCs w:val="0"/>
      <w:smallCaps w:val="0"/>
      <w:strike w:val="0"/>
      <w:sz w:val="40"/>
      <w:szCs w:val="40"/>
      <w:u w:val="none"/>
    </w:rPr>
  </w:style>
  <w:style w:type="character" w:customStyle="1" w:styleId="CharStyle27">
    <w:name w:val="Základní text (3)_"/>
    <w:basedOn w:val="DefaultParagraphFont"/>
    <w:link w:val="Style26"/>
    <w:rPr>
      <w:rFonts w:ascii="Segoe UI" w:eastAsia="Segoe UI" w:hAnsi="Segoe UI" w:cs="Segoe UI"/>
      <w:b w:val="0"/>
      <w:bCs w:val="0"/>
      <w:i w:val="0"/>
      <w:iCs w:val="0"/>
      <w:smallCaps w:val="0"/>
      <w:strike w:val="0"/>
      <w:sz w:val="20"/>
      <w:szCs w:val="20"/>
      <w:u w:val="none"/>
    </w:rPr>
  </w:style>
  <w:style w:type="character" w:customStyle="1" w:styleId="CharStyle32">
    <w:name w:val="Základní text (2)_"/>
    <w:basedOn w:val="DefaultParagraphFont"/>
    <w:link w:val="Style31"/>
    <w:rPr>
      <w:rFonts w:ascii="Arial" w:eastAsia="Arial" w:hAnsi="Arial" w:cs="Arial"/>
      <w:b w:val="0"/>
      <w:bCs w:val="0"/>
      <w:i w:val="0"/>
      <w:iCs w:val="0"/>
      <w:smallCaps w:val="0"/>
      <w:strike w:val="0"/>
      <w:color w:val="231C21"/>
      <w:sz w:val="14"/>
      <w:szCs w:val="14"/>
      <w:u w:val="none"/>
    </w:rPr>
  </w:style>
  <w:style w:type="paragraph" w:customStyle="1" w:styleId="Style2">
    <w:name w:val="Nadpis #2"/>
    <w:basedOn w:val="Normal"/>
    <w:link w:val="CharStyle3"/>
    <w:pPr>
      <w:widowControl w:val="0"/>
      <w:shd w:val="clear" w:color="auto" w:fill="auto"/>
      <w:spacing w:after="280"/>
      <w:outlineLvl w:val="1"/>
    </w:pPr>
    <w:rPr>
      <w:rFonts w:ascii="Sylfaen" w:eastAsia="Sylfaen" w:hAnsi="Sylfaen" w:cs="Sylfaen"/>
      <w:b/>
      <w:bCs/>
      <w:i w:val="0"/>
      <w:iCs w:val="0"/>
      <w:smallCaps w:val="0"/>
      <w:strike w:val="0"/>
      <w:sz w:val="22"/>
      <w:szCs w:val="22"/>
      <w:u w:val="none"/>
    </w:rPr>
  </w:style>
  <w:style w:type="paragraph" w:customStyle="1" w:styleId="Style4">
    <w:name w:val="Záhlaví nebo zápatí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Základní text"/>
    <w:basedOn w:val="Normal"/>
    <w:link w:val="CharStyle11"/>
    <w:pPr>
      <w:widowControl w:val="0"/>
      <w:shd w:val="clear" w:color="auto" w:fill="auto"/>
      <w:spacing w:after="280"/>
    </w:pPr>
    <w:rPr>
      <w:rFonts w:ascii="Sylfaen" w:eastAsia="Sylfaen" w:hAnsi="Sylfaen" w:cs="Sylfaen"/>
      <w:b w:val="0"/>
      <w:bCs w:val="0"/>
      <w:i w:val="0"/>
      <w:iCs w:val="0"/>
      <w:smallCaps w:val="0"/>
      <w:strike w:val="0"/>
      <w:sz w:val="22"/>
      <w:szCs w:val="22"/>
      <w:u w:val="none"/>
    </w:rPr>
  </w:style>
  <w:style w:type="paragraph" w:customStyle="1" w:styleId="Style13">
    <w:name w:val="Titulek tabulky"/>
    <w:basedOn w:val="Normal"/>
    <w:link w:val="CharStyle14"/>
    <w:pPr>
      <w:widowControl w:val="0"/>
      <w:shd w:val="clear" w:color="auto" w:fill="auto"/>
    </w:pPr>
    <w:rPr>
      <w:rFonts w:ascii="Sylfaen" w:eastAsia="Sylfaen" w:hAnsi="Sylfaen" w:cs="Sylfaen"/>
      <w:b w:val="0"/>
      <w:bCs w:val="0"/>
      <w:i w:val="0"/>
      <w:iCs w:val="0"/>
      <w:smallCaps w:val="0"/>
      <w:strike w:val="0"/>
      <w:sz w:val="22"/>
      <w:szCs w:val="22"/>
      <w:u w:val="none"/>
    </w:rPr>
  </w:style>
  <w:style w:type="paragraph" w:customStyle="1" w:styleId="Style16">
    <w:name w:val="Jiné"/>
    <w:basedOn w:val="Normal"/>
    <w:link w:val="CharStyle17"/>
    <w:pPr>
      <w:widowControl w:val="0"/>
      <w:shd w:val="clear" w:color="auto" w:fill="auto"/>
      <w:spacing w:after="280"/>
    </w:pPr>
    <w:rPr>
      <w:rFonts w:ascii="Sylfaen" w:eastAsia="Sylfaen" w:hAnsi="Sylfaen" w:cs="Sylfaen"/>
      <w:b w:val="0"/>
      <w:bCs w:val="0"/>
      <w:i w:val="0"/>
      <w:iCs w:val="0"/>
      <w:smallCaps w:val="0"/>
      <w:strike w:val="0"/>
      <w:sz w:val="22"/>
      <w:szCs w:val="22"/>
      <w:u w:val="none"/>
    </w:rPr>
  </w:style>
  <w:style w:type="paragraph" w:customStyle="1" w:styleId="Style24">
    <w:name w:val="Nadpis #1"/>
    <w:basedOn w:val="Normal"/>
    <w:link w:val="CharStyle25"/>
    <w:pPr>
      <w:widowControl w:val="0"/>
      <w:shd w:val="clear" w:color="auto" w:fill="auto"/>
      <w:spacing w:line="266" w:lineRule="auto"/>
      <w:outlineLvl w:val="0"/>
    </w:pPr>
    <w:rPr>
      <w:rFonts w:ascii="Arial" w:eastAsia="Arial" w:hAnsi="Arial" w:cs="Arial"/>
      <w:b w:val="0"/>
      <w:bCs w:val="0"/>
      <w:i w:val="0"/>
      <w:iCs w:val="0"/>
      <w:smallCaps w:val="0"/>
      <w:strike w:val="0"/>
      <w:sz w:val="40"/>
      <w:szCs w:val="40"/>
      <w:u w:val="none"/>
    </w:rPr>
  </w:style>
  <w:style w:type="paragraph" w:customStyle="1" w:styleId="Style26">
    <w:name w:val="Základní text (3)"/>
    <w:basedOn w:val="Normal"/>
    <w:link w:val="CharStyle27"/>
    <w:pPr>
      <w:widowControl w:val="0"/>
      <w:shd w:val="clear" w:color="auto" w:fill="auto"/>
    </w:pPr>
    <w:rPr>
      <w:rFonts w:ascii="Segoe UI" w:eastAsia="Segoe UI" w:hAnsi="Segoe UI" w:cs="Segoe UI"/>
      <w:b w:val="0"/>
      <w:bCs w:val="0"/>
      <w:i w:val="0"/>
      <w:iCs w:val="0"/>
      <w:smallCaps w:val="0"/>
      <w:strike w:val="0"/>
      <w:sz w:val="20"/>
      <w:szCs w:val="20"/>
      <w:u w:val="none"/>
    </w:rPr>
  </w:style>
  <w:style w:type="paragraph" w:customStyle="1" w:styleId="Style31">
    <w:name w:val="Základní text (2)"/>
    <w:basedOn w:val="Normal"/>
    <w:link w:val="CharStyle32"/>
    <w:pPr>
      <w:widowControl w:val="0"/>
      <w:shd w:val="clear" w:color="auto" w:fill="auto"/>
      <w:spacing w:line="211" w:lineRule="auto"/>
      <w:jc w:val="center"/>
    </w:pPr>
    <w:rPr>
      <w:rFonts w:ascii="Arial" w:eastAsia="Arial" w:hAnsi="Arial" w:cs="Arial"/>
      <w:b w:val="0"/>
      <w:bCs w:val="0"/>
      <w:i w:val="0"/>
      <w:iCs w:val="0"/>
      <w:smallCaps w:val="0"/>
      <w:strike w:val="0"/>
      <w:color w:val="231C21"/>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VZ_Nabytek_Priloha c. 4 (Navrh kupni smlouvy)</dc:title>
  <dc:subject/>
  <dc:creator>hudackova</dc:creator>
  <cp:keywords/>
</cp:coreProperties>
</file>