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A3" w:rsidRDefault="00002081">
      <w:pPr>
        <w:spacing w:after="0" w:line="259" w:lineRule="auto"/>
        <w:ind w:left="2945" w:firstLine="0"/>
        <w:jc w:val="left"/>
      </w:pPr>
      <w:r>
        <w:rPr>
          <w:b/>
          <w:color w:val="0000FF"/>
          <w:sz w:val="16"/>
        </w:rPr>
        <w:t xml:space="preserve"> </w:t>
      </w:r>
    </w:p>
    <w:p w:rsidR="00591CA3" w:rsidRDefault="00002081">
      <w:pPr>
        <w:spacing w:after="300" w:line="259" w:lineRule="auto"/>
        <w:ind w:left="93" w:right="-63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9236" cy="762000"/>
                <wp:effectExtent l="0" t="0" r="0" b="0"/>
                <wp:docPr id="21855" name="Group 21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9236" cy="762000"/>
                          <a:chOff x="0" y="0"/>
                          <a:chExt cx="6079236" cy="762000"/>
                        </a:xfrm>
                      </wpg:grpSpPr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544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55136" y="51816"/>
                            <a:ext cx="2324100" cy="662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55" style="width:478.68pt;height:60pt;mso-position-horizontal-relative:char;mso-position-vertical-relative:line" coordsize="60792,7620">
                <v:shape id="Picture 144" style="position:absolute;width:16855;height:7620;left:0;top:0;" filled="f">
                  <v:imagedata r:id="rId11"/>
                </v:shape>
                <v:shape id="Picture 146" style="position:absolute;width:23241;height:6629;left:37551;top:518;" filled="f">
                  <v:imagedata r:id="rId12"/>
                </v:shape>
              </v:group>
            </w:pict>
          </mc:Fallback>
        </mc:AlternateContent>
      </w:r>
    </w:p>
    <w:p w:rsidR="00591CA3" w:rsidRDefault="00002081">
      <w:pPr>
        <w:spacing w:after="211" w:line="259" w:lineRule="auto"/>
        <w:ind w:left="10" w:right="9" w:hanging="10"/>
        <w:jc w:val="center"/>
      </w:pPr>
      <w:r>
        <w:rPr>
          <w:b/>
        </w:rPr>
        <w:t xml:space="preserve">GRANTOVÁ SMLOUVA pro: </w:t>
      </w:r>
    </w:p>
    <w:p w:rsidR="00591CA3" w:rsidRDefault="00002081">
      <w:pPr>
        <w:pStyle w:val="Nadpis2"/>
        <w:spacing w:after="174" w:line="259" w:lineRule="auto"/>
        <w:ind w:right="5"/>
        <w:jc w:val="center"/>
      </w:pPr>
      <w:r>
        <w:t>projekt v rámci programu ERASMUS +</w:t>
      </w:r>
      <w:r>
        <w:rPr>
          <w:vertAlign w:val="superscript"/>
        </w:rPr>
        <w:footnoteReference w:id="1"/>
      </w:r>
      <w:r>
        <w:t xml:space="preserve">  ČÍSLO SMLOUVY –  2016-1-CZ01-KA102-023339 </w:t>
      </w:r>
    </w:p>
    <w:p w:rsidR="00591CA3" w:rsidRDefault="00002081">
      <w:pPr>
        <w:spacing w:after="224" w:line="259" w:lineRule="auto"/>
        <w:ind w:left="54" w:firstLine="0"/>
        <w:jc w:val="center"/>
      </w:pPr>
      <w:r>
        <w:t xml:space="preserve"> </w:t>
      </w:r>
    </w:p>
    <w:p w:rsidR="00591CA3" w:rsidRDefault="00002081">
      <w:pPr>
        <w:spacing w:after="211"/>
        <w:ind w:left="-7"/>
      </w:pPr>
      <w:r>
        <w:t xml:space="preserve">Tato smlouva (dále jen „smlouva“) je uzavřena mezi těmito smluvními stranami: </w:t>
      </w:r>
    </w:p>
    <w:p w:rsidR="00591CA3" w:rsidRDefault="00002081">
      <w:pPr>
        <w:spacing w:after="216"/>
        <w:ind w:left="-7"/>
      </w:pPr>
      <w:r>
        <w:t xml:space="preserve">na straně jedné, </w:t>
      </w:r>
    </w:p>
    <w:p w:rsidR="00591CA3" w:rsidRDefault="00002081">
      <w:pPr>
        <w:pStyle w:val="Nadpis2"/>
        <w:spacing w:after="231"/>
        <w:ind w:left="-5" w:right="4877"/>
      </w:pPr>
      <w:r>
        <w:t xml:space="preserve">Dům zahraniční spolupráce příspěvková organizace </w:t>
      </w:r>
      <w:r>
        <w:t xml:space="preserve">IČ: 61386839 Na Poříčí 1035/4, 110 00 Praha 1  </w:t>
      </w:r>
    </w:p>
    <w:p w:rsidR="00591CA3" w:rsidRDefault="00002081">
      <w:pPr>
        <w:ind w:left="-7"/>
      </w:pPr>
      <w:r>
        <w:rPr>
          <w:b/>
        </w:rPr>
        <w:t>národní agentura</w:t>
      </w:r>
      <w:r>
        <w:t xml:space="preserve"> (dále jen „NA“), zastoupená pro účely podpisu této smlouvy ředitelkou </w:t>
      </w:r>
    </w:p>
    <w:p w:rsidR="00591CA3" w:rsidRDefault="00002081">
      <w:pPr>
        <w:spacing w:line="430" w:lineRule="auto"/>
        <w:ind w:left="-5" w:right="1103" w:hanging="10"/>
        <w:jc w:val="left"/>
      </w:pPr>
      <w:r>
        <w:rPr>
          <w:b/>
        </w:rPr>
        <w:t>Ing. Ivou Tatarkovou</w:t>
      </w:r>
      <w:r>
        <w:t xml:space="preserve"> a působící z pověření Evropské komise, dále jen „Komise“</w:t>
      </w:r>
      <w:r>
        <w:rPr>
          <w:b/>
        </w:rPr>
        <w:t xml:space="preserve"> a </w:t>
      </w:r>
      <w:r>
        <w:t xml:space="preserve">na straně druhé, </w:t>
      </w:r>
    </w:p>
    <w:p w:rsidR="00591CA3" w:rsidRDefault="00002081">
      <w:pPr>
        <w:spacing w:after="218"/>
        <w:ind w:left="-7"/>
      </w:pPr>
      <w:r>
        <w:t xml:space="preserve">„příjemce“ </w:t>
      </w:r>
    </w:p>
    <w:p w:rsidR="00591CA3" w:rsidRDefault="00002081">
      <w:pPr>
        <w:spacing w:after="13" w:line="249" w:lineRule="auto"/>
        <w:ind w:left="-5" w:right="502" w:hanging="10"/>
      </w:pPr>
      <w:r>
        <w:rPr>
          <w:b/>
        </w:rPr>
        <w:t>Střední průmyslová škola, Ústí nad Labem, Resslova 5, příspěvková organizace</w:t>
      </w:r>
      <w:r>
        <w:t xml:space="preserve"> </w:t>
      </w:r>
      <w:r>
        <w:rPr>
          <w:b/>
        </w:rPr>
        <w:t>IČ: 00082201</w:t>
      </w:r>
      <w:r>
        <w:t xml:space="preserve">  </w:t>
      </w:r>
      <w:r>
        <w:rPr>
          <w:b/>
        </w:rPr>
        <w:t xml:space="preserve">Resslova 5, 40001 Ústí nad Labem </w:t>
      </w:r>
    </w:p>
    <w:p w:rsidR="00591CA3" w:rsidRDefault="00002081">
      <w:pPr>
        <w:spacing w:after="15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pStyle w:val="Nadpis2"/>
        <w:spacing w:after="179"/>
        <w:ind w:left="-5" w:right="0"/>
      </w:pPr>
      <w:r>
        <w:t>PIC - identifikační číslo účastníka</w:t>
      </w:r>
      <w:r w:rsidR="009334F9">
        <w:t>:</w:t>
      </w:r>
      <w:r>
        <w:rPr>
          <w:b w:val="0"/>
        </w:rPr>
        <w:t xml:space="preserve"> </w:t>
      </w:r>
    </w:p>
    <w:p w:rsidR="00591CA3" w:rsidRDefault="00002081">
      <w:pPr>
        <w:spacing w:after="12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-7"/>
      </w:pPr>
      <w:r>
        <w:t xml:space="preserve">zastoupená pro účely podpisu této smlouvy: </w:t>
      </w:r>
      <w:r>
        <w:rPr>
          <w:b/>
        </w:rPr>
        <w:t>Mgr. Bc. Jaroslav Mareš, Ředitel ško</w:t>
      </w:r>
      <w:r>
        <w:rPr>
          <w:b/>
        </w:rPr>
        <w:t>ly</w:t>
      </w:r>
      <w:r>
        <w:t xml:space="preserve">  </w:t>
      </w:r>
    </w:p>
    <w:p w:rsidR="00591CA3" w:rsidRDefault="00002081">
      <w:pPr>
        <w:spacing w:after="223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spacing w:after="707"/>
        <w:ind w:left="-7"/>
      </w:pPr>
      <w:r>
        <w:t xml:space="preserve">Výše uvedené strany </w:t>
      </w:r>
    </w:p>
    <w:p w:rsidR="00591CA3" w:rsidRDefault="00002081">
      <w:pPr>
        <w:spacing w:after="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spacing w:after="219" w:line="259" w:lineRule="auto"/>
        <w:ind w:left="0" w:right="4" w:firstLine="0"/>
        <w:jc w:val="center"/>
      </w:pPr>
      <w:r>
        <w:t xml:space="preserve">SJEDNALY  </w:t>
      </w:r>
    </w:p>
    <w:p w:rsidR="00591CA3" w:rsidRDefault="00002081">
      <w:pPr>
        <w:ind w:left="-7"/>
      </w:pPr>
      <w:r>
        <w:lastRenderedPageBreak/>
        <w:t xml:space="preserve">Zvláštní podmínky (dále jen „zvláštní podmínky“) a následující přílohy: </w:t>
      </w:r>
    </w:p>
    <w:tbl>
      <w:tblPr>
        <w:tblStyle w:val="TableGrid"/>
        <w:tblW w:w="8980" w:type="dxa"/>
        <w:tblInd w:w="0" w:type="dxa"/>
        <w:tblCellMar>
          <w:top w:w="4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7706"/>
      </w:tblGrid>
      <w:tr w:rsidR="00591CA3">
        <w:trPr>
          <w:trHeight w:val="64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591CA3" w:rsidRDefault="00002081">
            <w:pPr>
              <w:spacing w:after="0" w:line="259" w:lineRule="auto"/>
              <w:ind w:left="0" w:firstLine="0"/>
              <w:jc w:val="left"/>
            </w:pPr>
            <w:r>
              <w:t xml:space="preserve">Příloha I  </w:t>
            </w: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</w:tcPr>
          <w:p w:rsidR="00591CA3" w:rsidRDefault="00002081">
            <w:pPr>
              <w:spacing w:after="0" w:line="259" w:lineRule="auto"/>
              <w:ind w:left="0" w:firstLine="0"/>
              <w:jc w:val="left"/>
            </w:pPr>
            <w:r>
              <w:t xml:space="preserve">Všeobecné podmínky (dále jen „všeobecné podmínky“) – ke stažení na webu </w:t>
            </w:r>
            <w:hyperlink r:id="rId13">
              <w:r>
                <w:rPr>
                  <w:color w:val="0000FF"/>
                  <w:u w:val="single" w:color="0000FF"/>
                </w:rPr>
                <w:t>http://ec.europa.eu/programmes/erasmus</w:t>
              </w:r>
            </w:hyperlink>
            <w:hyperlink r:id="rId14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5">
              <w:r>
                <w:rPr>
                  <w:color w:val="0000FF"/>
                  <w:u w:val="single" w:color="0000FF"/>
                </w:rPr>
                <w:t>plus</w:t>
              </w:r>
            </w:hyperlink>
            <w:hyperlink r:id="rId16">
              <w:r>
                <w:t xml:space="preserve"> </w:t>
              </w:r>
            </w:hyperlink>
            <w:r>
              <w:t xml:space="preserve">v sekci „Resources“  </w:t>
            </w:r>
          </w:p>
        </w:tc>
      </w:tr>
      <w:tr w:rsidR="00591CA3">
        <w:trPr>
          <w:trHeight w:val="4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CA3" w:rsidRDefault="00002081">
            <w:pPr>
              <w:spacing w:after="0" w:line="259" w:lineRule="auto"/>
              <w:ind w:left="0" w:firstLine="0"/>
              <w:jc w:val="left"/>
            </w:pPr>
            <w:r>
              <w:t xml:space="preserve">Příloha II </w:t>
            </w: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CA3" w:rsidRDefault="00002081">
            <w:pPr>
              <w:spacing w:after="0" w:line="259" w:lineRule="auto"/>
              <w:ind w:left="0" w:firstLine="0"/>
              <w:jc w:val="left"/>
            </w:pPr>
            <w:r>
              <w:t xml:space="preserve">Popis projektu; Souhrnný rozpočet projektu  </w:t>
            </w:r>
          </w:p>
        </w:tc>
      </w:tr>
      <w:tr w:rsidR="00591CA3">
        <w:trPr>
          <w:trHeight w:val="4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CA3" w:rsidRDefault="00002081">
            <w:pPr>
              <w:spacing w:after="0" w:line="259" w:lineRule="auto"/>
              <w:ind w:left="0" w:firstLine="0"/>
              <w:jc w:val="left"/>
            </w:pPr>
            <w:r>
              <w:t xml:space="preserve">Příloha III  </w:t>
            </w: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CA3" w:rsidRDefault="00002081">
            <w:pPr>
              <w:spacing w:after="0" w:line="259" w:lineRule="auto"/>
              <w:ind w:left="2" w:firstLine="0"/>
              <w:jc w:val="left"/>
            </w:pPr>
            <w:r>
              <w:t xml:space="preserve">Finanční a smluvní pravidla – ke stažení na webu </w:t>
            </w:r>
            <w:hyperlink r:id="rId17">
              <w:r>
                <w:rPr>
                  <w:color w:val="0000FF"/>
                  <w:u w:val="single" w:color="0000FF"/>
                </w:rPr>
                <w:t>ww</w:t>
              </w:r>
              <w:r>
                <w:rPr>
                  <w:color w:val="0000FF"/>
                  <w:u w:val="single" w:color="0000FF"/>
                </w:rPr>
                <w:t>w.naerasmusplus.cz</w:t>
              </w:r>
            </w:hyperlink>
            <w:hyperlink r:id="rId18">
              <w:r>
                <w:t xml:space="preserve"> </w:t>
              </w:r>
            </w:hyperlink>
          </w:p>
        </w:tc>
      </w:tr>
      <w:tr w:rsidR="00591CA3">
        <w:trPr>
          <w:trHeight w:val="751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591CA3" w:rsidRDefault="00002081">
            <w:pPr>
              <w:spacing w:after="0" w:line="259" w:lineRule="auto"/>
              <w:ind w:left="0" w:firstLine="0"/>
              <w:jc w:val="left"/>
            </w:pPr>
            <w:r>
              <w:t xml:space="preserve">Příloha IV </w:t>
            </w: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CA3" w:rsidRDefault="00002081">
            <w:pPr>
              <w:spacing w:after="0" w:line="259" w:lineRule="auto"/>
              <w:ind w:left="2" w:firstLine="0"/>
              <w:jc w:val="left"/>
            </w:pPr>
            <w:r>
              <w:t xml:space="preserve">Platné sazby pro příspěvky na jednotkové náklady – ke stažení na webu </w:t>
            </w:r>
            <w:hyperlink r:id="rId19">
              <w:r>
                <w:rPr>
                  <w:color w:val="0000FF"/>
                  <w:u w:val="single" w:color="0000FF"/>
                </w:rPr>
                <w:t>www.naerasmusplus.cz</w:t>
              </w:r>
            </w:hyperlink>
            <w:hyperlink r:id="rId20">
              <w:r>
                <w:t xml:space="preserve"> </w:t>
              </w:r>
            </w:hyperlink>
          </w:p>
        </w:tc>
      </w:tr>
      <w:tr w:rsidR="00591CA3">
        <w:trPr>
          <w:trHeight w:val="64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591CA3" w:rsidRDefault="00002081">
            <w:pPr>
              <w:spacing w:after="0" w:line="259" w:lineRule="auto"/>
              <w:ind w:left="0" w:firstLine="0"/>
              <w:jc w:val="left"/>
            </w:pPr>
            <w:r>
              <w:t xml:space="preserve">Příloha V </w:t>
            </w: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CA3" w:rsidRDefault="00002081">
            <w:pPr>
              <w:spacing w:after="0" w:line="259" w:lineRule="auto"/>
              <w:ind w:left="2" w:firstLine="0"/>
              <w:jc w:val="left"/>
            </w:pPr>
            <w:r>
              <w:t xml:space="preserve">Vzory následujících smluvních dokumentů mezi příjemcem a účastníky mobilit – ke stažení na webu </w:t>
            </w:r>
            <w:hyperlink r:id="rId21">
              <w:r>
                <w:rPr>
                  <w:color w:val="0000FF"/>
                  <w:u w:val="single" w:color="0000FF"/>
                </w:rPr>
                <w:t>www.naerasmusplus.cz</w:t>
              </w:r>
            </w:hyperlink>
            <w:hyperlink r:id="rId22">
              <w:r>
                <w:t>:</w:t>
              </w:r>
            </w:hyperlink>
            <w:r>
              <w:t xml:space="preserve">  </w:t>
            </w:r>
          </w:p>
        </w:tc>
      </w:tr>
    </w:tbl>
    <w:p w:rsidR="00591CA3" w:rsidRDefault="00002081">
      <w:pPr>
        <w:spacing w:line="268" w:lineRule="auto"/>
        <w:ind w:left="715" w:right="543" w:hanging="10"/>
        <w:jc w:val="left"/>
      </w:pPr>
      <w:r>
        <w:rPr>
          <w:i/>
        </w:rPr>
        <w:t xml:space="preserve">Pro mobilitu pracovníků: </w:t>
      </w:r>
    </w:p>
    <w:p w:rsidR="00591CA3" w:rsidRDefault="00002081">
      <w:pPr>
        <w:spacing w:after="167"/>
        <w:ind w:left="1426"/>
      </w:pPr>
      <w:r>
        <w:t xml:space="preserve">Účastnická smlouva pro mobilitu pracovníků v rámci Erasmus+ v odborném vzdělávání a přípravě  </w:t>
      </w:r>
      <w:r>
        <w:rPr>
          <w:i/>
        </w:rPr>
        <w:t>a její přílohy:</w:t>
      </w:r>
      <w:r>
        <w:t xml:space="preserve">  </w:t>
      </w:r>
    </w:p>
    <w:p w:rsidR="00591CA3" w:rsidRDefault="00002081">
      <w:pPr>
        <w:tabs>
          <w:tab w:val="center" w:pos="1836"/>
          <w:tab w:val="right" w:pos="903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Příloha I </w:t>
      </w:r>
      <w:r>
        <w:tab/>
        <w:t xml:space="preserve">Erasmus+ Work Programme for VET Staff mobility </w:t>
      </w:r>
      <w:r>
        <w:rPr>
          <w:i/>
        </w:rPr>
        <w:t xml:space="preserve">(Dohoda o </w:t>
      </w:r>
    </w:p>
    <w:p w:rsidR="00591CA3" w:rsidRDefault="00002081">
      <w:pPr>
        <w:spacing w:line="268" w:lineRule="auto"/>
        <w:ind w:left="1418" w:right="543" w:firstLine="1455"/>
        <w:jc w:val="left"/>
      </w:pPr>
      <w:r>
        <w:rPr>
          <w:i/>
        </w:rPr>
        <w:t xml:space="preserve">pracovním programu pro odbornou mobilitu pracovníků v rámci Erasmus+) </w:t>
      </w:r>
      <w:r>
        <w:t xml:space="preserve">Příloha II </w:t>
      </w:r>
      <w:r>
        <w:tab/>
        <w:t xml:space="preserve">Všeobecné podmínky </w:t>
      </w:r>
    </w:p>
    <w:p w:rsidR="00591CA3" w:rsidRDefault="00002081">
      <w:pPr>
        <w:spacing w:after="24" w:line="259" w:lineRule="auto"/>
        <w:ind w:left="1418" w:firstLine="0"/>
        <w:jc w:val="left"/>
      </w:pPr>
      <w:r>
        <w:t xml:space="preserve"> </w:t>
      </w:r>
    </w:p>
    <w:p w:rsidR="00591CA3" w:rsidRDefault="00002081">
      <w:pPr>
        <w:spacing w:after="52" w:line="268" w:lineRule="auto"/>
        <w:ind w:left="715" w:right="543" w:hanging="10"/>
        <w:jc w:val="left"/>
      </w:pPr>
      <w:r>
        <w:rPr>
          <w:i/>
        </w:rPr>
        <w:t xml:space="preserve">Pro mobilitu žáků/studentů: </w:t>
      </w:r>
    </w:p>
    <w:p w:rsidR="00591CA3" w:rsidRDefault="00002081">
      <w:pPr>
        <w:spacing w:line="268" w:lineRule="auto"/>
        <w:ind w:left="1428" w:right="683" w:hanging="10"/>
        <w:jc w:val="left"/>
      </w:pPr>
      <w:r>
        <w:t xml:space="preserve">Účastnická smlouva pro odbornou stáž žáků/studentů v rámci Erasmus+ v odborném vzdělávání a přípravě  </w:t>
      </w:r>
      <w:r>
        <w:rPr>
          <w:i/>
        </w:rPr>
        <w:t>a její přílohy: - pro</w:t>
      </w:r>
      <w:r>
        <w:rPr>
          <w:i/>
        </w:rPr>
        <w:t xml:space="preserve">jekty bez ECVET: </w:t>
      </w:r>
    </w:p>
    <w:p w:rsidR="00591CA3" w:rsidRDefault="00002081">
      <w:pPr>
        <w:tabs>
          <w:tab w:val="center" w:pos="1978"/>
          <w:tab w:val="center" w:pos="575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Příloha I </w:t>
      </w:r>
      <w:r>
        <w:tab/>
        <w:t xml:space="preserve">Erasmus+ Learning Agreement for VET mobility </w:t>
      </w:r>
      <w:r>
        <w:rPr>
          <w:i/>
        </w:rPr>
        <w:t xml:space="preserve">(Dohoda o </w:t>
      </w:r>
    </w:p>
    <w:p w:rsidR="00591CA3" w:rsidRDefault="00002081">
      <w:pPr>
        <w:spacing w:line="268" w:lineRule="auto"/>
        <w:ind w:left="2845" w:right="543" w:hanging="10"/>
        <w:jc w:val="left"/>
      </w:pPr>
      <w:r>
        <w:rPr>
          <w:i/>
        </w:rPr>
        <w:t xml:space="preserve">vzdělávacím programu pro odbornou stáž žáků/studentů v rámci Erasmus+) </w:t>
      </w:r>
    </w:p>
    <w:p w:rsidR="00591CA3" w:rsidRDefault="00002081">
      <w:pPr>
        <w:tabs>
          <w:tab w:val="center" w:pos="2016"/>
          <w:tab w:val="center" w:pos="387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Příloha II </w:t>
      </w:r>
      <w:r>
        <w:tab/>
        <w:t xml:space="preserve">Všeobecné podmínky </w:t>
      </w:r>
    </w:p>
    <w:p w:rsidR="00591CA3" w:rsidRDefault="00002081">
      <w:pPr>
        <w:spacing w:line="268" w:lineRule="auto"/>
        <w:ind w:left="2160" w:right="2358" w:hanging="600"/>
        <w:jc w:val="left"/>
      </w:pPr>
      <w:r>
        <w:t xml:space="preserve">Příloha III </w:t>
      </w:r>
      <w:r>
        <w:tab/>
        <w:t xml:space="preserve">Quality commitment </w:t>
      </w:r>
      <w:r>
        <w:rPr>
          <w:i/>
        </w:rPr>
        <w:t xml:space="preserve">(Závazek kvality) - </w:t>
      </w:r>
      <w:r>
        <w:rPr>
          <w:i/>
        </w:rPr>
        <w:t xml:space="preserve">projekty s ECVET: </w:t>
      </w:r>
    </w:p>
    <w:p w:rsidR="00591CA3" w:rsidRDefault="00002081">
      <w:pPr>
        <w:tabs>
          <w:tab w:val="center" w:pos="1978"/>
          <w:tab w:val="center" w:pos="473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Příloha I </w:t>
      </w:r>
      <w:r>
        <w:tab/>
        <w:t xml:space="preserve">Learning Agreement </w:t>
      </w:r>
      <w:r>
        <w:rPr>
          <w:i/>
        </w:rPr>
        <w:t>(Smlouva o učení)</w:t>
      </w:r>
      <w:r>
        <w:t xml:space="preserve"> </w:t>
      </w:r>
    </w:p>
    <w:p w:rsidR="00591CA3" w:rsidRDefault="00002081">
      <w:pPr>
        <w:tabs>
          <w:tab w:val="center" w:pos="2016"/>
          <w:tab w:val="center" w:pos="39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Příloha II </w:t>
      </w:r>
      <w:r>
        <w:tab/>
        <w:t xml:space="preserve">Všeobecné podmínky </w:t>
      </w:r>
    </w:p>
    <w:p w:rsidR="00591CA3" w:rsidRDefault="00002081">
      <w:pPr>
        <w:tabs>
          <w:tab w:val="center" w:pos="2056"/>
          <w:tab w:val="right" w:pos="903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Příloha III </w:t>
      </w:r>
      <w:r>
        <w:tab/>
        <w:t xml:space="preserve">Memorandum of Understanding </w:t>
      </w:r>
      <w:r>
        <w:rPr>
          <w:i/>
        </w:rPr>
        <w:t>(Memorandum o porozumění)</w:t>
      </w:r>
      <w:r>
        <w:t xml:space="preserve"> </w:t>
      </w:r>
    </w:p>
    <w:p w:rsidR="00591CA3" w:rsidRDefault="00002081">
      <w:pPr>
        <w:tabs>
          <w:tab w:val="center" w:pos="2062"/>
          <w:tab w:val="center" w:pos="473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Příloha IV </w:t>
      </w:r>
      <w:r>
        <w:tab/>
        <w:t xml:space="preserve">Quality commitment </w:t>
      </w:r>
      <w:r>
        <w:rPr>
          <w:i/>
        </w:rPr>
        <w:t>(Závazek kvality)</w:t>
      </w:r>
      <w:r>
        <w:rPr>
          <w:sz w:val="12"/>
        </w:rPr>
        <w:t xml:space="preserve"> </w:t>
      </w:r>
    </w:p>
    <w:p w:rsidR="00591CA3" w:rsidRDefault="00002081">
      <w:pPr>
        <w:spacing w:after="345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591CA3" w:rsidRDefault="00002081">
      <w:pPr>
        <w:spacing w:after="289"/>
        <w:ind w:left="-7"/>
      </w:pPr>
      <w:r>
        <w:t xml:space="preserve">které tvoří nedílnou součást této smlouvy. </w:t>
      </w:r>
    </w:p>
    <w:p w:rsidR="00591CA3" w:rsidRDefault="00002081">
      <w:pPr>
        <w:spacing w:after="247"/>
        <w:ind w:left="-7"/>
      </w:pPr>
      <w:r>
        <w:t xml:space="preserve">Ustanovení zvláštních podmínek této smlouvy mají přednost před jejími přílohami. </w:t>
      </w:r>
    </w:p>
    <w:p w:rsidR="00591CA3" w:rsidRDefault="00002081">
      <w:pPr>
        <w:spacing w:after="207"/>
        <w:ind w:left="-7"/>
      </w:pPr>
      <w:r>
        <w:t>Ustanovení přílohy I „Všeobecné podmínky“ mají přednost před ostatními přílohami. Ustanovení přílohy III mají přednost před ostatn</w:t>
      </w:r>
      <w:r>
        <w:t xml:space="preserve">ími přílohami, vyjma přílohy I.  </w:t>
      </w:r>
    </w:p>
    <w:p w:rsidR="00591CA3" w:rsidRDefault="00002081">
      <w:pPr>
        <w:ind w:left="-7"/>
      </w:pPr>
      <w:r>
        <w:lastRenderedPageBreak/>
        <w:t xml:space="preserve">V rámci Přílohy II má část Podrobnosti o rozpočtu přednost před částí Podrobnosti o aktivitách.  </w:t>
      </w:r>
      <w:r>
        <w:rPr>
          <w:b/>
        </w:rPr>
        <w:t xml:space="preserve"> </w:t>
      </w:r>
    </w:p>
    <w:p w:rsidR="00591CA3" w:rsidRDefault="00002081">
      <w:pPr>
        <w:spacing w:after="174" w:line="259" w:lineRule="auto"/>
        <w:ind w:left="10" w:right="7" w:hanging="10"/>
        <w:jc w:val="center"/>
      </w:pPr>
      <w:r>
        <w:rPr>
          <w:b/>
        </w:rPr>
        <w:t xml:space="preserve">ZVLÁŠTNÍ PODMÍNKY </w:t>
      </w:r>
    </w:p>
    <w:p w:rsidR="00591CA3" w:rsidRDefault="00002081">
      <w:pPr>
        <w:spacing w:after="0" w:line="259" w:lineRule="auto"/>
        <w:ind w:left="54" w:firstLine="0"/>
        <w:jc w:val="center"/>
      </w:pPr>
      <w:r>
        <w:rPr>
          <w:b/>
        </w:rPr>
        <w:t xml:space="preserve"> </w:t>
      </w:r>
    </w:p>
    <w:p w:rsidR="00591CA3" w:rsidRDefault="00002081">
      <w:pPr>
        <w:pStyle w:val="Nadpis2"/>
        <w:spacing w:after="174" w:line="259" w:lineRule="auto"/>
        <w:ind w:right="5"/>
        <w:jc w:val="center"/>
      </w:pPr>
      <w:r>
        <w:t xml:space="preserve">OBSAH </w:t>
      </w:r>
    </w:p>
    <w:p w:rsidR="00591CA3" w:rsidRDefault="00002081">
      <w:pPr>
        <w:spacing w:after="175" w:line="259" w:lineRule="auto"/>
        <w:ind w:left="0" w:firstLine="0"/>
        <w:jc w:val="left"/>
      </w:pPr>
      <w:r>
        <w:rPr>
          <w:b/>
        </w:rPr>
        <w:t xml:space="preserve"> </w:t>
      </w:r>
    </w:p>
    <w:p w:rsidR="00591CA3" w:rsidRDefault="00002081">
      <w:pPr>
        <w:spacing w:after="188" w:line="259" w:lineRule="auto"/>
        <w:ind w:left="0" w:firstLine="0"/>
        <w:jc w:val="left"/>
      </w:pPr>
      <w:r>
        <w:rPr>
          <w:b/>
        </w:rPr>
        <w:t xml:space="preserve"> </w:t>
      </w:r>
    </w:p>
    <w:sdt>
      <w:sdtPr>
        <w:id w:val="816537755"/>
        <w:docPartObj>
          <w:docPartGallery w:val="Table of Contents"/>
        </w:docPartObj>
      </w:sdtPr>
      <w:sdtEndPr/>
      <w:sdtContent>
        <w:p w:rsidR="00591CA3" w:rsidRDefault="00002081">
          <w:pPr>
            <w:pStyle w:val="Obsah1"/>
            <w:tabs>
              <w:tab w:val="right" w:leader="dot" w:pos="9032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22522">
            <w:r>
              <w:t>ČLÁNEK I.1 – PŘEDMĚT SMLOUVY</w:t>
            </w:r>
            <w:r>
              <w:tab/>
            </w:r>
            <w:r>
              <w:fldChar w:fldCharType="begin"/>
            </w:r>
            <w:r>
              <w:instrText>PAGEREF</w:instrText>
            </w:r>
            <w:r>
              <w:instrText xml:space="preserve"> _Toc22522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591CA3" w:rsidRDefault="00002081">
          <w:pPr>
            <w:pStyle w:val="Obsah1"/>
            <w:tabs>
              <w:tab w:val="right" w:leader="dot" w:pos="9032"/>
            </w:tabs>
          </w:pPr>
          <w:hyperlink w:anchor="_Toc22523">
            <w:r>
              <w:t>ČLÁNEK I.2 – PLATNOST A TRVÁNÍ SMLOUVY</w:t>
            </w:r>
            <w:r>
              <w:tab/>
            </w:r>
            <w:r>
              <w:fldChar w:fldCharType="begin"/>
            </w:r>
            <w:r>
              <w:instrText>PAGEREF _Toc22523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591CA3" w:rsidRDefault="00002081">
          <w:pPr>
            <w:pStyle w:val="Obsah1"/>
            <w:tabs>
              <w:tab w:val="right" w:leader="dot" w:pos="9032"/>
            </w:tabs>
          </w:pPr>
          <w:hyperlink w:anchor="_Toc22524">
            <w:r>
              <w:t>ČLÁNEK I.3 – MAXIMÁLNÍ VÝŠE GRANTU A FORMA GRANTU</w:t>
            </w:r>
            <w:r>
              <w:tab/>
            </w:r>
            <w:r>
              <w:fldChar w:fldCharType="begin"/>
            </w:r>
            <w:r>
              <w:instrText>PAGEREF _Toc22524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591CA3" w:rsidRDefault="00002081">
          <w:pPr>
            <w:pStyle w:val="Obsah1"/>
            <w:tabs>
              <w:tab w:val="right" w:leader="dot" w:pos="9032"/>
            </w:tabs>
          </w:pPr>
          <w:hyperlink w:anchor="_Toc22525">
            <w:r>
              <w:t>ČLÁNEK I.4 – PŘEDKLÁDÁNÍ ZPRÁV A PLATEBNÍ PODMÍNKY</w:t>
            </w:r>
            <w:r>
              <w:tab/>
            </w:r>
            <w:r>
              <w:fldChar w:fldCharType="begin"/>
            </w:r>
            <w:r>
              <w:instrText>PAGEREF _Toc22525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:rsidR="00591CA3" w:rsidRDefault="00002081">
          <w:pPr>
            <w:pStyle w:val="Obsah1"/>
            <w:tabs>
              <w:tab w:val="right" w:leader="dot" w:pos="9032"/>
            </w:tabs>
          </w:pPr>
          <w:hyperlink w:anchor="_Toc22526">
            <w:r>
              <w:t>ČLÁNEK I.5 – BANKOVNÍ ÚČET PRO PLATBY</w:t>
            </w:r>
            <w:r>
              <w:tab/>
            </w:r>
            <w:r>
              <w:fldChar w:fldCharType="begin"/>
            </w:r>
            <w:r>
              <w:instrText>PAGEREF _Toc22526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:rsidR="00591CA3" w:rsidRDefault="00002081">
          <w:pPr>
            <w:pStyle w:val="Obsah1"/>
            <w:tabs>
              <w:tab w:val="right" w:leader="dot" w:pos="9032"/>
            </w:tabs>
          </w:pPr>
          <w:hyperlink w:anchor="_Toc22527">
            <w:r>
              <w:t>ČLÁNEK I.6 – SPRÁVCE ÚDAJŮ A KONTAKTNÍ ÚDAJE SMLUVNÍCH STRAN</w:t>
            </w:r>
            <w:r>
              <w:tab/>
            </w:r>
            <w:r>
              <w:fldChar w:fldCharType="begin"/>
            </w:r>
            <w:r>
              <w:instrText>PAGEREF _Toc22527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:rsidR="00591CA3" w:rsidRDefault="00002081">
          <w:pPr>
            <w:pStyle w:val="Obsah1"/>
            <w:tabs>
              <w:tab w:val="right" w:leader="dot" w:pos="9032"/>
            </w:tabs>
          </w:pPr>
          <w:hyperlink w:anchor="_Toc22528">
            <w:r>
              <w:t>ČLÁNEK I.7 – OCHRANA A BEZPEČNOST ÚČASTNÍKŮ</w:t>
            </w:r>
            <w:r>
              <w:tab/>
            </w:r>
            <w:r>
              <w:fldChar w:fldCharType="begin"/>
            </w:r>
            <w:r>
              <w:instrText>PAGEREF _Toc22528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:rsidR="00591CA3" w:rsidRDefault="00002081">
          <w:pPr>
            <w:pStyle w:val="Obsah1"/>
            <w:tabs>
              <w:tab w:val="right" w:leader="dot" w:pos="9032"/>
            </w:tabs>
          </w:pPr>
          <w:hyperlink w:anchor="_Toc22529">
            <w:r>
              <w:t xml:space="preserve">ČLÁNEK I.8 – DALŠÍ USTANOVENÍ O VYUŽITÍ VÝSLEDKŮ (VČETNĚ DUŠEVNÍHO </w:t>
            </w:r>
            <w:r>
              <w:tab/>
            </w:r>
            <w:r>
              <w:fldChar w:fldCharType="begin"/>
            </w:r>
            <w:r>
              <w:instrText>PAGEREF _</w:instrText>
            </w:r>
            <w:r>
              <w:instrText>Toc22529 \h</w:instrText>
            </w:r>
            <w:r>
              <w:fldChar w:fldCharType="end"/>
            </w:r>
          </w:hyperlink>
        </w:p>
        <w:p w:rsidR="00591CA3" w:rsidRDefault="00002081">
          <w:pPr>
            <w:pStyle w:val="Obsah1"/>
            <w:tabs>
              <w:tab w:val="right" w:leader="dot" w:pos="9032"/>
            </w:tabs>
          </w:pPr>
          <w:hyperlink w:anchor="_Toc22530">
            <w:r>
              <w:t>A PRŮMYSLOVÉHO VLASTNICTVÍ)</w:t>
            </w:r>
            <w:r>
              <w:tab/>
            </w:r>
            <w:r>
              <w:fldChar w:fldCharType="begin"/>
            </w:r>
            <w:r>
              <w:instrText>PAGEREF _Toc22530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:rsidR="00591CA3" w:rsidRDefault="00002081">
          <w:pPr>
            <w:pStyle w:val="Obsah1"/>
            <w:tabs>
              <w:tab w:val="right" w:leader="dot" w:pos="9032"/>
            </w:tabs>
          </w:pPr>
          <w:hyperlink w:anchor="_Toc22531">
            <w:r>
              <w:t>ČLÁ</w:t>
            </w:r>
            <w:r>
              <w:t>NEK I.9 – VYUŽÍVÁNÍ IT NÁSTROJŮ</w:t>
            </w:r>
            <w:r>
              <w:tab/>
            </w:r>
            <w:r>
              <w:fldChar w:fldCharType="begin"/>
            </w:r>
            <w:r>
              <w:instrText>PAGEREF _Toc22531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:rsidR="00591CA3" w:rsidRDefault="00002081">
          <w:pPr>
            <w:pStyle w:val="Obsah1"/>
            <w:tabs>
              <w:tab w:val="right" w:leader="dot" w:pos="9032"/>
            </w:tabs>
          </w:pPr>
          <w:hyperlink w:anchor="_Toc22532">
            <w:r>
              <w:t>ČLÁNEK I.10 – DODATEČNÁ USTANOVENÍ O SUBDODÁVKÁCH</w:t>
            </w:r>
            <w:r>
              <w:tab/>
            </w:r>
            <w:r>
              <w:fldChar w:fldCharType="begin"/>
            </w:r>
            <w:r>
              <w:instrText>PAGEREF _Toc22532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591CA3" w:rsidRDefault="00002081">
          <w:pPr>
            <w:pStyle w:val="Obsah1"/>
            <w:tabs>
              <w:tab w:val="right" w:leader="dot" w:pos="9032"/>
            </w:tabs>
          </w:pPr>
          <w:hyperlink w:anchor="_Toc22533">
            <w:r>
              <w:t xml:space="preserve">ČLÁNEK I.11 – DODATEČNÁ USTANOVENÍ O VIDITELNOSTI FINANCOVÁNÍ </w:t>
            </w:r>
            <w:r>
              <w:tab/>
            </w:r>
            <w:r>
              <w:fldChar w:fldCharType="begin"/>
            </w:r>
            <w:r>
              <w:instrText>PAGEREF _Toc22533 \h</w:instrText>
            </w:r>
            <w:r>
              <w:fldChar w:fldCharType="end"/>
            </w:r>
          </w:hyperlink>
        </w:p>
        <w:p w:rsidR="00591CA3" w:rsidRDefault="00002081">
          <w:pPr>
            <w:pStyle w:val="Obsah1"/>
            <w:tabs>
              <w:tab w:val="right" w:leader="dot" w:pos="9032"/>
            </w:tabs>
          </w:pPr>
          <w:hyperlink w:anchor="_Toc22534">
            <w:r>
              <w:t>EVROPSKOU UNIÍ</w:t>
            </w:r>
            <w:r>
              <w:tab/>
            </w:r>
            <w:r>
              <w:fldChar w:fldCharType="begin"/>
            </w:r>
            <w:r>
              <w:instrText>PAGEREF _Toc22534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591CA3" w:rsidRDefault="00002081">
          <w:pPr>
            <w:pStyle w:val="Obsah1"/>
            <w:tabs>
              <w:tab w:val="right" w:leader="dot" w:pos="9032"/>
            </w:tabs>
          </w:pPr>
          <w:hyperlink w:anchor="_Toc22535">
            <w:r>
              <w:t>ČLÁNEK I.12 – PODPORA ÚČASTNÍKŮ</w:t>
            </w:r>
            <w:r>
              <w:tab/>
            </w:r>
            <w:r>
              <w:fldChar w:fldCharType="begin"/>
            </w:r>
            <w:r>
              <w:instrText>PAGEREF _Toc22535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591CA3" w:rsidRDefault="00002081">
          <w:pPr>
            <w:pStyle w:val="Obsah1"/>
            <w:tabs>
              <w:tab w:val="right" w:leader="dot" w:pos="9032"/>
            </w:tabs>
          </w:pPr>
          <w:hyperlink w:anchor="_Toc22536">
            <w:r>
              <w:t>ČLÁNEK I.13 – SOUHLAS RODIČŮ/ZÁKONNÝCH ZÁSTUPCŮ</w:t>
            </w:r>
            <w:r>
              <w:tab/>
            </w:r>
            <w:r>
              <w:fldChar w:fldCharType="begin"/>
            </w:r>
            <w:r>
              <w:instrText>PAGEREF _Toc22536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591CA3" w:rsidRDefault="00002081">
          <w:pPr>
            <w:pStyle w:val="Obsah1"/>
            <w:tabs>
              <w:tab w:val="right" w:leader="dot" w:pos="9032"/>
            </w:tabs>
          </w:pPr>
          <w:hyperlink w:anchor="_Toc22537">
            <w:r>
              <w:t>ČLÁNEK I.14 – SPECIFICKÉ ODCHYLKY OD PŘÍLOHY I - VŠEOBECNÉ PODMÍNKY</w:t>
            </w:r>
            <w:r>
              <w:tab/>
            </w:r>
            <w:r>
              <w:fldChar w:fldCharType="begin"/>
            </w:r>
            <w:r>
              <w:instrText>PAGEREF _Toc22537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:rsidR="00591CA3" w:rsidRDefault="00002081">
          <w:r>
            <w:fldChar w:fldCharType="end"/>
          </w:r>
        </w:p>
      </w:sdtContent>
    </w:sdt>
    <w:p w:rsidR="00591CA3" w:rsidRDefault="00002081">
      <w:pPr>
        <w:pStyle w:val="Nadpis1"/>
        <w:spacing w:after="212" w:line="332" w:lineRule="auto"/>
        <w:ind w:left="-7" w:right="0" w:hanging="8"/>
      </w:pPr>
      <w:bookmarkStart w:id="0" w:name="_Toc22522"/>
      <w:r>
        <w:rPr>
          <w:b w:val="0"/>
        </w:rPr>
        <w:t xml:space="preserve"> </w:t>
      </w:r>
      <w:r>
        <w:t xml:space="preserve">ČLÁNEK I.1 – PŘEDMĚT SMLOUVY  </w:t>
      </w:r>
      <w:bookmarkEnd w:id="0"/>
    </w:p>
    <w:p w:rsidR="00591CA3" w:rsidRDefault="00002081">
      <w:pPr>
        <w:ind w:left="551" w:hanging="566"/>
      </w:pPr>
      <w:r>
        <w:rPr>
          <w:b/>
        </w:rPr>
        <w:t xml:space="preserve">I.1.1 </w:t>
      </w:r>
      <w:r>
        <w:t>Národní agentura se za podmínek stanovených ve zvlá</w:t>
      </w:r>
      <w:r>
        <w:t xml:space="preserve">štních podmínkách, všeobecných podmínkách a ostatních přílohách smlouvy rozhodla udělit grant na projekt s názvem </w:t>
      </w:r>
      <w:r>
        <w:rPr>
          <w:b/>
        </w:rPr>
        <w:t>technIQa</w:t>
      </w:r>
      <w:r>
        <w:t xml:space="preserve"> (dále jen „projekt“) v rámci programu Erasmus+ Klíčová akce 1: Vzdělávací mobilita jednotlivců, jak je uvedeno v příloze II.  </w:t>
      </w:r>
    </w:p>
    <w:p w:rsidR="00591CA3" w:rsidRDefault="00002081">
      <w:pPr>
        <w:spacing w:after="13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551" w:hanging="566"/>
      </w:pPr>
      <w:r>
        <w:rPr>
          <w:b/>
        </w:rPr>
        <w:t>I.1.</w:t>
      </w:r>
      <w:r>
        <w:rPr>
          <w:b/>
        </w:rPr>
        <w:t xml:space="preserve">2 </w:t>
      </w:r>
      <w:r>
        <w:t xml:space="preserve">Podpisem této smlouvy příjemce přijímá grant a souhlasí s tím, že bude realizovat projekt, a to na vlastní odpovědnost.  </w:t>
      </w:r>
    </w:p>
    <w:p w:rsidR="00591CA3" w:rsidRDefault="00002081">
      <w:pPr>
        <w:spacing w:after="18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pStyle w:val="Nadpis1"/>
        <w:spacing w:after="223"/>
        <w:ind w:left="-5" w:right="0"/>
      </w:pPr>
      <w:bookmarkStart w:id="1" w:name="_Toc22523"/>
      <w:r>
        <w:lastRenderedPageBreak/>
        <w:t xml:space="preserve">ČLÁNEK I.2 – PLATNOST A TRVÁNÍ SMLOUVY </w:t>
      </w:r>
      <w:bookmarkEnd w:id="1"/>
    </w:p>
    <w:p w:rsidR="00591CA3" w:rsidRDefault="00002081">
      <w:pPr>
        <w:tabs>
          <w:tab w:val="center" w:pos="4358"/>
        </w:tabs>
        <w:ind w:left="-15" w:firstLine="0"/>
        <w:jc w:val="left"/>
      </w:pPr>
      <w:r>
        <w:rPr>
          <w:b/>
        </w:rPr>
        <w:t>I.2.1</w:t>
      </w:r>
      <w:r>
        <w:t xml:space="preserve"> </w:t>
      </w:r>
      <w:r>
        <w:tab/>
        <w:t xml:space="preserve">Smlouva vstupuje v platnost dnem jejího podpisu poslední smluvní stranou. </w:t>
      </w:r>
    </w:p>
    <w:p w:rsidR="00591CA3" w:rsidRDefault="00002081">
      <w:pPr>
        <w:spacing w:after="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705" w:hanging="720"/>
      </w:pPr>
      <w:r>
        <w:rPr>
          <w:b/>
        </w:rPr>
        <w:t>I.2.2</w:t>
      </w:r>
      <w:r>
        <w:t xml:space="preserve"> </w:t>
      </w:r>
      <w:r>
        <w:t>Projekt bude realizován po dobu</w:t>
      </w:r>
      <w:r>
        <w:rPr>
          <w:b/>
        </w:rPr>
        <w:t xml:space="preserve"> 15 měsíců</w:t>
      </w:r>
      <w:r>
        <w:t xml:space="preserve"> od </w:t>
      </w:r>
      <w:r>
        <w:rPr>
          <w:b/>
        </w:rPr>
        <w:t>01.09.2016</w:t>
      </w:r>
      <w:r>
        <w:t xml:space="preserve"> do </w:t>
      </w:r>
      <w:r>
        <w:rPr>
          <w:b/>
        </w:rPr>
        <w:t>30.11.2017</w:t>
      </w:r>
      <w:r>
        <w:t xml:space="preserve">, a to včetně těchto dnů.  </w:t>
      </w:r>
    </w:p>
    <w:p w:rsidR="00591CA3" w:rsidRDefault="00002081">
      <w:pPr>
        <w:spacing w:after="25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pStyle w:val="Nadpis1"/>
        <w:tabs>
          <w:tab w:val="center" w:pos="7922"/>
        </w:tabs>
        <w:spacing w:after="226"/>
        <w:ind w:left="-15" w:right="0" w:firstLine="0"/>
        <w:jc w:val="left"/>
      </w:pPr>
      <w:bookmarkStart w:id="2" w:name="_Toc22524"/>
      <w:r>
        <w:t xml:space="preserve"> ČLÁNEK I.3 – MAXIMÁLNÍ VÝŠE GRANTU A FORMA GRANTU  </w:t>
      </w:r>
      <w:r>
        <w:tab/>
        <w:t xml:space="preserve"> </w:t>
      </w:r>
      <w:bookmarkEnd w:id="2"/>
    </w:p>
    <w:p w:rsidR="00591CA3" w:rsidRDefault="00002081">
      <w:pPr>
        <w:spacing w:after="144" w:line="249" w:lineRule="auto"/>
        <w:ind w:left="-5" w:hanging="10"/>
      </w:pPr>
      <w:r>
        <w:rPr>
          <w:b/>
        </w:rPr>
        <w:t xml:space="preserve">I.3.1 Maximální výše přiděleného grantu činí 83429,00 EUR. </w:t>
      </w:r>
    </w:p>
    <w:p w:rsidR="00591CA3" w:rsidRDefault="00002081">
      <w:pPr>
        <w:ind w:left="-7"/>
      </w:pPr>
      <w:r>
        <w:rPr>
          <w:b/>
        </w:rPr>
        <w:t>I.3.2</w:t>
      </w:r>
      <w:r>
        <w:t xml:space="preserve"> Grant bude poskytnut formou </w:t>
      </w:r>
      <w:r>
        <w:t xml:space="preserve">jednotkových příspěvků a náhrad způsobilých skutečně vynaložených nákladů, a to v souladu s těmito ustanoveními: </w:t>
      </w:r>
    </w:p>
    <w:p w:rsidR="00591CA3" w:rsidRDefault="00002081">
      <w:pPr>
        <w:spacing w:after="23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368" w:right="3567"/>
      </w:pPr>
      <w:r>
        <w:t>(a)</w:t>
      </w:r>
      <w:r>
        <w:rPr>
          <w:rFonts w:ascii="Arial" w:eastAsia="Arial" w:hAnsi="Arial" w:cs="Arial"/>
        </w:rPr>
        <w:t xml:space="preserve"> </w:t>
      </w:r>
      <w:r>
        <w:t>způsobilé náklady specifikované v příloze III; (b)</w:t>
      </w:r>
      <w:r>
        <w:rPr>
          <w:rFonts w:ascii="Arial" w:eastAsia="Arial" w:hAnsi="Arial" w:cs="Arial"/>
        </w:rPr>
        <w:t xml:space="preserve"> </w:t>
      </w:r>
      <w:r>
        <w:t xml:space="preserve">přidělený rozpočet specifikovaný v příloze II; </w:t>
      </w:r>
    </w:p>
    <w:p w:rsidR="00591CA3" w:rsidRDefault="00002081">
      <w:pPr>
        <w:ind w:left="368"/>
      </w:pPr>
      <w:r>
        <w:t>(c)</w:t>
      </w:r>
      <w:r>
        <w:rPr>
          <w:rFonts w:ascii="Arial" w:eastAsia="Arial" w:hAnsi="Arial" w:cs="Arial"/>
        </w:rPr>
        <w:t xml:space="preserve"> </w:t>
      </w:r>
      <w:r>
        <w:t>finanční pravidla specifikovaná v</w:t>
      </w:r>
      <w:r>
        <w:t xml:space="preserve"> příloze III. </w:t>
      </w:r>
    </w:p>
    <w:p w:rsidR="00591CA3" w:rsidRDefault="00002081">
      <w:pPr>
        <w:spacing w:after="27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pStyle w:val="Nadpis2"/>
        <w:tabs>
          <w:tab w:val="center" w:pos="4254"/>
        </w:tabs>
        <w:ind w:left="-15" w:right="0" w:firstLine="0"/>
        <w:jc w:val="left"/>
      </w:pPr>
      <w:r>
        <w:t xml:space="preserve">I.3.3 </w:t>
      </w:r>
      <w:r>
        <w:tab/>
        <w:t xml:space="preserve">Převody v rámci rozpočtu bez povinnosti uzavřít dodatek ke smlouvě </w:t>
      </w:r>
    </w:p>
    <w:p w:rsidR="00591CA3" w:rsidRDefault="00002081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:rsidR="00591CA3" w:rsidRDefault="00002081">
      <w:pPr>
        <w:spacing w:after="209" w:line="268" w:lineRule="auto"/>
        <w:ind w:left="-5" w:hanging="10"/>
        <w:jc w:val="left"/>
      </w:pPr>
      <w:r>
        <w:t xml:space="preserve">Za podmínky, že nebude dotčen článek II.13 a že projekt bude realizován tak, jak je popsáno v příloze II, je příjemci grantu  </w:t>
      </w:r>
      <w:r>
        <w:t xml:space="preserve">povoleno provádět úpravy v přiděleném rozpočtu stanoveném v příloze II, a to prostřednictvím převodů mezi jednotlivými rozpočtovými kategoriemi. Tyto změny nebudou považovány za změnu smlouvy ve smyslu článku II.13, pokud budou dodržena tato pravidla: </w:t>
      </w:r>
    </w:p>
    <w:p w:rsidR="00591CA3" w:rsidRDefault="00002081">
      <w:pPr>
        <w:numPr>
          <w:ilvl w:val="0"/>
          <w:numId w:val="1"/>
        </w:numPr>
        <w:ind w:hanging="360"/>
      </w:pPr>
      <w:r>
        <w:t>Pří</w:t>
      </w:r>
      <w:r>
        <w:t xml:space="preserve">jemci grantu je povoleno až 100 % finančních prostředků přidělených do rozpočtové kategorie náklady na organizaci mobilit převést do rozpočtových kategorií cestovní náklady a pobytové náklady; </w:t>
      </w:r>
    </w:p>
    <w:p w:rsidR="00591CA3" w:rsidRDefault="00002081">
      <w:pPr>
        <w:spacing w:after="23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numPr>
          <w:ilvl w:val="0"/>
          <w:numId w:val="1"/>
        </w:numPr>
        <w:ind w:hanging="360"/>
      </w:pPr>
      <w:r>
        <w:t>příjemce může převádět prostředky z jakékoli rozpočtové kate</w:t>
      </w:r>
      <w:r>
        <w:t xml:space="preserve">gorie do rozpočtové kategorie náklady na účastníky se specifickými potřebami, a to i v případě, že do rozpočtové kategorie náklady na účastníky se specifickými potřebami podle přílohy II nebyly původně přiděleny žádné prostředky; </w:t>
      </w:r>
    </w:p>
    <w:p w:rsidR="00591CA3" w:rsidRDefault="00002081">
      <w:pPr>
        <w:spacing w:after="23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numPr>
          <w:ilvl w:val="0"/>
          <w:numId w:val="1"/>
        </w:numPr>
        <w:ind w:hanging="360"/>
      </w:pPr>
      <w:r>
        <w:t>příjemci grantu je povo</w:t>
      </w:r>
      <w:r>
        <w:t xml:space="preserve">leno až 50 % finančních prostředků přidělených do rozpočtové kategorie jazyková podpora převést do rozpočtové kategorie cestovní náklady a pobytové náklady v rámci mobility žáků/studentů; </w:t>
      </w:r>
    </w:p>
    <w:p w:rsidR="00591CA3" w:rsidRDefault="00002081">
      <w:pPr>
        <w:numPr>
          <w:ilvl w:val="0"/>
          <w:numId w:val="1"/>
        </w:numPr>
        <w:spacing w:after="251"/>
        <w:ind w:hanging="360"/>
      </w:pPr>
      <w:r>
        <w:t>příjemci grantu je povoleno až 100 % finančních prostředků přidělen</w:t>
      </w:r>
      <w:r>
        <w:t xml:space="preserve">ých do rozpočtové kategorie pobytové náklady a cestovní náklady na mobilitu pracovníků převést do rozpočtové kategorie pobytové náklady a cestovní náklady v rámci mobility žáků/studentů; </w:t>
      </w:r>
    </w:p>
    <w:p w:rsidR="00591CA3" w:rsidRDefault="00002081">
      <w:pPr>
        <w:numPr>
          <w:ilvl w:val="0"/>
          <w:numId w:val="1"/>
        </w:numPr>
        <w:spacing w:after="198"/>
        <w:ind w:hanging="360"/>
      </w:pPr>
      <w:r>
        <w:lastRenderedPageBreak/>
        <w:t>příjemci grantu je povoleno až 100 % finančních prostředků přidělený</w:t>
      </w:r>
      <w:r>
        <w:t>ch do rozpočtové kategorie pobytové náklady a cestovní náklady v rámci mobility žáků/studentů v organizacích odborného vzdělávání a přípravy převést do rozpočtové kategorie pobytové náklady a cestovní náklady v rámci mobility žáků/studentů v podnicích. (f)</w:t>
      </w:r>
      <w:r>
        <w:rPr>
          <w:rFonts w:ascii="Arial" w:eastAsia="Arial" w:hAnsi="Arial" w:cs="Arial"/>
        </w:rPr>
        <w:t xml:space="preserve"> </w:t>
      </w:r>
      <w:r>
        <w:t>příjemci grantu je povoleno až 100 % finančních prostředků přidělených do rozpočtové kategorie pobytové náklady a cestovní náklady v rámci mobility žáků/studentů v podnicích převést do rozpočtové kategorie pobytové náklady a cestovní náklady v rámci mobil</w:t>
      </w:r>
      <w:r>
        <w:t xml:space="preserve">ity žáků/studentů v organizacích odborného vzdělávání a přípravy. </w:t>
      </w:r>
    </w:p>
    <w:p w:rsidR="00591CA3" w:rsidRDefault="00002081">
      <w:pPr>
        <w:spacing w:after="33" w:line="259" w:lineRule="auto"/>
        <w:ind w:left="720" w:firstLine="0"/>
        <w:jc w:val="left"/>
      </w:pPr>
      <w:r>
        <w:t xml:space="preserve"> </w:t>
      </w:r>
    </w:p>
    <w:p w:rsidR="00591CA3" w:rsidRDefault="00002081">
      <w:pPr>
        <w:pStyle w:val="Nadpis1"/>
        <w:spacing w:after="222"/>
        <w:ind w:left="-5" w:right="0"/>
      </w:pPr>
      <w:bookmarkStart w:id="3" w:name="_Toc22525"/>
      <w:r>
        <w:t xml:space="preserve">ČLÁNEK I.4 – PŘEDKLÁDÁNÍ ZPRÁV A PLATEBNÍ PODMÍNKY  </w:t>
      </w:r>
      <w:bookmarkEnd w:id="3"/>
    </w:p>
    <w:p w:rsidR="00591CA3" w:rsidRDefault="00002081">
      <w:pPr>
        <w:ind w:left="-7"/>
      </w:pPr>
      <w:r>
        <w:t xml:space="preserve">Pro předkládání zpráv a platby platí následující ustanovení: </w:t>
      </w:r>
    </w:p>
    <w:p w:rsidR="00591CA3" w:rsidRDefault="00002081">
      <w:pPr>
        <w:spacing w:after="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pStyle w:val="Nadpis2"/>
        <w:tabs>
          <w:tab w:val="center" w:pos="1052"/>
        </w:tabs>
        <w:spacing w:after="315"/>
        <w:ind w:left="-15" w:right="0" w:firstLine="0"/>
        <w:jc w:val="left"/>
      </w:pPr>
      <w:r>
        <w:t xml:space="preserve">I.4.1 </w:t>
      </w:r>
      <w:r>
        <w:tab/>
        <w:t xml:space="preserve">Platby </w:t>
      </w:r>
    </w:p>
    <w:p w:rsidR="00591CA3" w:rsidRDefault="00002081">
      <w:pPr>
        <w:spacing w:after="282"/>
        <w:ind w:left="-7"/>
      </w:pPr>
      <w:r>
        <w:t xml:space="preserve">NA musí příjemci poukázat následující platby: </w:t>
      </w:r>
    </w:p>
    <w:p w:rsidR="00591CA3" w:rsidRDefault="00002081">
      <w:pPr>
        <w:numPr>
          <w:ilvl w:val="0"/>
          <w:numId w:val="2"/>
        </w:numPr>
        <w:spacing w:after="270"/>
        <w:ind w:hanging="238"/>
      </w:pPr>
      <w:r>
        <w:t xml:space="preserve">první zálohu; </w:t>
      </w:r>
    </w:p>
    <w:p w:rsidR="00591CA3" w:rsidRDefault="00002081">
      <w:pPr>
        <w:numPr>
          <w:ilvl w:val="0"/>
          <w:numId w:val="2"/>
        </w:numPr>
        <w:spacing w:after="301"/>
        <w:ind w:hanging="238"/>
      </w:pPr>
      <w:r>
        <w:t xml:space="preserve">doplatek na základě žádosti o doplatek v souladu s článkem I.4.4. </w:t>
      </w:r>
    </w:p>
    <w:p w:rsidR="00591CA3" w:rsidRDefault="00002081">
      <w:pPr>
        <w:pStyle w:val="Nadpis2"/>
        <w:ind w:left="-5" w:right="0"/>
      </w:pPr>
      <w:r>
        <w:t xml:space="preserve">I.4.2 První záloha </w:t>
      </w:r>
    </w:p>
    <w:p w:rsidR="00591CA3" w:rsidRDefault="00002081">
      <w:pPr>
        <w:spacing w:after="15" w:line="259" w:lineRule="auto"/>
        <w:ind w:left="0" w:firstLine="0"/>
        <w:jc w:val="left"/>
      </w:pPr>
      <w:r>
        <w:rPr>
          <w:b/>
        </w:rPr>
        <w:t xml:space="preserve"> </w:t>
      </w:r>
    </w:p>
    <w:p w:rsidR="00591CA3" w:rsidRDefault="00002081">
      <w:pPr>
        <w:ind w:left="-7"/>
      </w:pPr>
      <w:r>
        <w:t>Účelem zálohových plateb je poskytnout příjemci grantu počáteční finanční prostředky.</w:t>
      </w:r>
      <w:r>
        <w:rPr>
          <w:b/>
        </w:rPr>
        <w:t xml:space="preserve"> </w:t>
      </w:r>
      <w:r>
        <w:t xml:space="preserve">Tyto prostředky zůstávají majetkem NA až do vyplacení doplatku. </w:t>
      </w:r>
      <w:r>
        <w:rPr>
          <w:b/>
        </w:rPr>
        <w:t xml:space="preserve"> </w:t>
      </w:r>
    </w:p>
    <w:p w:rsidR="00591CA3" w:rsidRDefault="00002081">
      <w:pPr>
        <w:spacing w:after="19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-7"/>
      </w:pPr>
      <w:r>
        <w:t xml:space="preserve">NA vyplatí příjemci první zálohu ve dvou splátkách následovně: </w:t>
      </w:r>
    </w:p>
    <w:p w:rsidR="00591CA3" w:rsidRDefault="00002081">
      <w:pPr>
        <w:spacing w:after="31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numPr>
          <w:ilvl w:val="0"/>
          <w:numId w:val="3"/>
        </w:numPr>
        <w:spacing w:after="134"/>
        <w:ind w:hanging="360"/>
      </w:pPr>
      <w:r>
        <w:t xml:space="preserve">Do 30 dnů po nabytí platnosti smlouvy první splátku zálohy ve výši </w:t>
      </w:r>
      <w:r>
        <w:rPr>
          <w:b/>
        </w:rPr>
        <w:t>50057,40</w:t>
      </w:r>
      <w:r>
        <w:t xml:space="preserve">  EUR odpovídající 60 % maximální částky grantu stanovené v článku I.3.1; </w:t>
      </w:r>
    </w:p>
    <w:p w:rsidR="00591CA3" w:rsidRDefault="00002081">
      <w:pPr>
        <w:numPr>
          <w:ilvl w:val="0"/>
          <w:numId w:val="3"/>
        </w:numPr>
        <w:ind w:hanging="360"/>
      </w:pPr>
      <w:r>
        <w:t>Do 31. 3. 2017 druhou splátku zálohy v</w:t>
      </w:r>
      <w:r>
        <w:t xml:space="preserve">e výši </w:t>
      </w:r>
      <w:r>
        <w:rPr>
          <w:b/>
        </w:rPr>
        <w:t>16685,80</w:t>
      </w:r>
      <w:r>
        <w:t xml:space="preserve"> EUR odpovídající 20 % maximální částky grantu stanovené v článku I.3.1. </w:t>
      </w:r>
    </w:p>
    <w:p w:rsidR="00591CA3" w:rsidRDefault="00002081">
      <w:pPr>
        <w:spacing w:after="0" w:line="259" w:lineRule="auto"/>
        <w:ind w:left="427" w:firstLine="0"/>
        <w:jc w:val="left"/>
      </w:pPr>
      <w:r>
        <w:t xml:space="preserve"> </w:t>
      </w:r>
    </w:p>
    <w:p w:rsidR="00591CA3" w:rsidRDefault="00002081">
      <w:pPr>
        <w:spacing w:after="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spacing w:after="3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spacing w:after="13" w:line="249" w:lineRule="auto"/>
        <w:ind w:left="-5" w:hanging="10"/>
      </w:pPr>
      <w:r>
        <w:rPr>
          <w:b/>
        </w:rPr>
        <w:t xml:space="preserve">I.4.3 Průběžné zprávy a další zálohy </w:t>
      </w:r>
    </w:p>
    <w:p w:rsidR="00591CA3" w:rsidRDefault="00002081">
      <w:pPr>
        <w:spacing w:after="2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-7"/>
      </w:pPr>
      <w:r>
        <w:t xml:space="preserve">Netýká se. </w:t>
      </w:r>
    </w:p>
    <w:p w:rsidR="00591CA3" w:rsidRDefault="00002081">
      <w:pPr>
        <w:spacing w:after="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591CA3" w:rsidRDefault="00002081">
      <w:pPr>
        <w:pStyle w:val="Nadpis2"/>
        <w:ind w:left="-5" w:right="0"/>
      </w:pPr>
      <w:r>
        <w:lastRenderedPageBreak/>
        <w:t xml:space="preserve">I.4.4 Závěrečná zpráva a žádost o doplatek </w:t>
      </w:r>
      <w:r>
        <w:rPr>
          <w:b w:val="0"/>
        </w:rPr>
        <w:t xml:space="preserve"> </w:t>
      </w:r>
    </w:p>
    <w:p w:rsidR="00591CA3" w:rsidRDefault="00002081">
      <w:pPr>
        <w:spacing w:after="19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-7"/>
      </w:pPr>
      <w:r>
        <w:t xml:space="preserve">Do 30 </w:t>
      </w:r>
      <w:r>
        <w:t>dnů od data ukončení projektu uvedeného v článku I.2.2 musí příjemce předložit závěrečnou zprávu o realizaci projektu. Tato zpráva musí obsahovat informace potřebné pro odůvodnění požadovaného grantového příspěvku na základě jednotkových příspěvků, má-li g</w:t>
      </w:r>
      <w:r>
        <w:t xml:space="preserve">rant formu náhrady jednotkových příspěvků nebo na základě náhrad způsobilých skutečně vynaložených nákladů v souladu s přílohou III.  </w:t>
      </w:r>
    </w:p>
    <w:p w:rsidR="00591CA3" w:rsidRDefault="00002081">
      <w:pPr>
        <w:spacing w:after="22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-7"/>
      </w:pPr>
      <w:r>
        <w:t xml:space="preserve">Závěrečná zpráva je považována za žádost příjemce o vyplacení doplatku grantu.  </w:t>
      </w:r>
    </w:p>
    <w:p w:rsidR="00591CA3" w:rsidRDefault="00002081">
      <w:pPr>
        <w:spacing w:after="22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-7"/>
      </w:pPr>
      <w:r>
        <w:t xml:space="preserve">Příjemce </w:t>
      </w:r>
      <w:r>
        <w:t>ručí za to, že informace uvedené v žádosti o doplatek jsou úplné, spolehlivé a pravdivé. Dále ručí za to, že vynaložené náklady lze považovat za způsobilé podle této smlouvy a že žádost o doplatek je podložena náležitými podklady, které mohou být posouzeny</w:t>
      </w:r>
      <w:r>
        <w:t xml:space="preserve"> v rámci kontrol nebo auditů popsaných v článku II.27.  </w:t>
      </w:r>
    </w:p>
    <w:p w:rsidR="00591CA3" w:rsidRDefault="00002081">
      <w:pPr>
        <w:spacing w:after="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pStyle w:val="Nadpis2"/>
        <w:ind w:left="-5" w:right="0"/>
      </w:pPr>
      <w:r>
        <w:t xml:space="preserve">I.4.5 Platba doplatku </w:t>
      </w:r>
    </w:p>
    <w:p w:rsidR="00591CA3" w:rsidRDefault="00002081">
      <w:pPr>
        <w:spacing w:after="23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-7"/>
      </w:pPr>
      <w:r>
        <w:t xml:space="preserve">Účelem jednorázové platby doplatku je uhradit zbývající část způsobilých nákladů vynaložených příjemcem grantu na realizaci projektu.  </w:t>
      </w:r>
    </w:p>
    <w:p w:rsidR="00591CA3" w:rsidRDefault="00002081">
      <w:pPr>
        <w:spacing w:after="22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-7"/>
      </w:pPr>
      <w:r>
        <w:t>NA stanoví výši doplatku odečtením</w:t>
      </w:r>
      <w:r>
        <w:t xml:space="preserve"> celkové výše již poskytnutého předběžného financování od konečné celkové výše grantu v souladu s článkem II.25. </w:t>
      </w:r>
    </w:p>
    <w:p w:rsidR="00591CA3" w:rsidRDefault="00002081">
      <w:pPr>
        <w:spacing w:after="22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-7"/>
      </w:pPr>
      <w:r>
        <w:t>Je-li celková výše dosud vyplacených záloh vyšší, než je konečná celková výše grantu stanovená v souladu s článkem II.25, bude mít závěrečná</w:t>
      </w:r>
      <w:r>
        <w:t xml:space="preserve"> platba formu vratky v souladu s článkem II.26.  </w:t>
      </w:r>
    </w:p>
    <w:p w:rsidR="00591CA3" w:rsidRDefault="00002081">
      <w:pPr>
        <w:spacing w:after="21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-7"/>
      </w:pPr>
      <w:r>
        <w:t>Je-li celková výše dosud vyplacených záloh nižší, než je konečná celková výše grantu stanovená v souladu s článkem II.25, vyplatí NA doplatek do 60 kalendářních dnů od okamžiku, kdy obdrží podklady v soul</w:t>
      </w:r>
      <w:r>
        <w:t xml:space="preserve">adu s článkem I.4.4, pokud články II.24.1 nebo II.24.2 nestanoví jinak. </w:t>
      </w:r>
    </w:p>
    <w:p w:rsidR="00591CA3" w:rsidRDefault="00002081">
      <w:pPr>
        <w:spacing w:after="17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-7"/>
      </w:pPr>
      <w:r>
        <w:t>Platba podléhá schválení žádosti o vyplacení doplatku a podpůrných podkladů. Schválení závěrečné zprávy neznamená uznání řádnosti nebo hodnověrnosti, úplnosti a správnosti prohlášen</w:t>
      </w:r>
      <w:r>
        <w:t xml:space="preserve">í a informací v ní obsažených. </w:t>
      </w:r>
    </w:p>
    <w:p w:rsidR="00591CA3" w:rsidRDefault="00002081">
      <w:pPr>
        <w:spacing w:after="17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-7"/>
      </w:pPr>
      <w:r>
        <w:t xml:space="preserve">Doplatek může být bez souhlasu příjemce snížen o jakoukoli částku, kterou příjemce dluží NA, a to až do maximální výše grantu. </w:t>
      </w:r>
    </w:p>
    <w:p w:rsidR="00591CA3" w:rsidRDefault="00002081">
      <w:pPr>
        <w:spacing w:after="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spacing w:after="31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pStyle w:val="Nadpis2"/>
        <w:ind w:left="-5" w:right="0"/>
      </w:pPr>
      <w:r>
        <w:t xml:space="preserve">I.4.6 Oznámení o výši plateb </w:t>
      </w:r>
    </w:p>
    <w:p w:rsidR="00591CA3" w:rsidRDefault="00002081">
      <w:pPr>
        <w:spacing w:after="15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-7"/>
      </w:pPr>
      <w:r>
        <w:lastRenderedPageBreak/>
        <w:t xml:space="preserve">NA příjemci zašle </w:t>
      </w:r>
      <w:r>
        <w:rPr>
          <w:i/>
        </w:rPr>
        <w:t>formální oznámení</w:t>
      </w:r>
      <w:r>
        <w:t xml:space="preserve">: </w:t>
      </w:r>
    </w:p>
    <w:p w:rsidR="00591CA3" w:rsidRDefault="00002081">
      <w:pPr>
        <w:spacing w:after="15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numPr>
          <w:ilvl w:val="0"/>
          <w:numId w:val="4"/>
        </w:numPr>
        <w:ind w:hanging="360"/>
      </w:pPr>
      <w:r>
        <w:t xml:space="preserve">informující o výši platby, </w:t>
      </w:r>
    </w:p>
    <w:p w:rsidR="00591CA3" w:rsidRDefault="00002081">
      <w:pPr>
        <w:numPr>
          <w:ilvl w:val="0"/>
          <w:numId w:val="4"/>
        </w:numPr>
        <w:ind w:hanging="360"/>
      </w:pPr>
      <w:r>
        <w:t xml:space="preserve">a specifikaci, zda se oznámení týká další zálohy nebo vyplacení doplatku. </w:t>
      </w:r>
    </w:p>
    <w:p w:rsidR="00591CA3" w:rsidRDefault="00002081">
      <w:pPr>
        <w:spacing w:after="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-7"/>
      </w:pPr>
      <w:r>
        <w:t xml:space="preserve">Pro vyplacení doplatku musí NA rovněž určit konečnou celkovou výši grantu v souladu s článkem II.25. </w:t>
      </w:r>
    </w:p>
    <w:p w:rsidR="00591CA3" w:rsidRDefault="00002081">
      <w:pPr>
        <w:spacing w:after="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pStyle w:val="Nadpis2"/>
        <w:ind w:left="-5" w:right="0"/>
      </w:pPr>
      <w:r>
        <w:t xml:space="preserve">I.4.7 Platby NA příjemci </w:t>
      </w:r>
    </w:p>
    <w:p w:rsidR="00591CA3" w:rsidRDefault="00002081">
      <w:pPr>
        <w:spacing w:after="11" w:line="259" w:lineRule="auto"/>
        <w:ind w:left="0" w:firstLine="0"/>
        <w:jc w:val="left"/>
      </w:pPr>
      <w:r>
        <w:rPr>
          <w:b/>
        </w:rPr>
        <w:t xml:space="preserve"> </w:t>
      </w:r>
    </w:p>
    <w:p w:rsidR="00591CA3" w:rsidRDefault="00002081">
      <w:pPr>
        <w:ind w:left="-7"/>
      </w:pPr>
      <w:r>
        <w:t>NA vyplatí finanční</w:t>
      </w:r>
      <w:r>
        <w:t xml:space="preserve"> částky příjemci. </w:t>
      </w:r>
    </w:p>
    <w:p w:rsidR="00591CA3" w:rsidRDefault="00002081">
      <w:pPr>
        <w:spacing w:after="16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-7"/>
      </w:pPr>
      <w:r>
        <w:t xml:space="preserve">Platby příjemci odečte NA od svých platebních závazků. </w:t>
      </w:r>
    </w:p>
    <w:p w:rsidR="00591CA3" w:rsidRDefault="00002081">
      <w:pPr>
        <w:spacing w:after="24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spacing w:after="13" w:line="249" w:lineRule="auto"/>
        <w:ind w:left="-5" w:hanging="10"/>
      </w:pPr>
      <w:r>
        <w:rPr>
          <w:b/>
        </w:rPr>
        <w:t xml:space="preserve">I.4.8 Jazyk žádostí o platby a zpráv  </w:t>
      </w:r>
    </w:p>
    <w:p w:rsidR="00591CA3" w:rsidRDefault="00002081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:rsidR="00591CA3" w:rsidRDefault="00002081">
      <w:pPr>
        <w:ind w:left="-7"/>
      </w:pPr>
      <w:r>
        <w:t xml:space="preserve">Veškeré žádosti o platby a zprávy předloží příjemce v českém jazyce. </w:t>
      </w:r>
    </w:p>
    <w:p w:rsidR="00591CA3" w:rsidRDefault="00002081">
      <w:pPr>
        <w:spacing w:after="26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pStyle w:val="Nadpis2"/>
        <w:ind w:left="-5" w:right="0"/>
      </w:pPr>
      <w:r>
        <w:t>I.4.9 Měna pro žádosti o platby a přepočet na eura</w:t>
      </w:r>
      <w:r>
        <w:rPr>
          <w:b w:val="0"/>
        </w:rPr>
        <w:t xml:space="preserve"> </w:t>
      </w:r>
    </w:p>
    <w:p w:rsidR="00591CA3" w:rsidRDefault="00002081">
      <w:pPr>
        <w:spacing w:after="16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spacing w:after="208"/>
        <w:ind w:left="-7"/>
      </w:pPr>
      <w:r>
        <w:t xml:space="preserve">Žádost o platbu musí být předložena v EUR. </w:t>
      </w:r>
    </w:p>
    <w:p w:rsidR="00591CA3" w:rsidRDefault="00002081">
      <w:pPr>
        <w:ind w:left="-7"/>
      </w:pPr>
      <w:r>
        <w:t>Veškeré přepočty nákladů (v rámci rozpočtových kategorií stanovených na základě skutečně vynaložených nákladů) vynaložených v jiné měně na euro provede příjemce grantu podle měsíčního účetního kurzu stanoveného E</w:t>
      </w:r>
      <w:r>
        <w:t>vropskou komisí a zveřejněného na jejích internetových stránkách</w:t>
      </w:r>
      <w:r>
        <w:rPr>
          <w:vertAlign w:val="superscript"/>
        </w:rPr>
        <w:footnoteReference w:id="2"/>
      </w:r>
      <w:r>
        <w:t xml:space="preserve">, který platil v den podpisu smlouvy poslední z obou smluvních stran. </w:t>
      </w:r>
    </w:p>
    <w:p w:rsidR="00591CA3" w:rsidRDefault="00002081">
      <w:pPr>
        <w:spacing w:after="20" w:line="259" w:lineRule="auto"/>
        <w:ind w:left="0" w:firstLine="0"/>
        <w:jc w:val="left"/>
      </w:pPr>
      <w:r>
        <w:rPr>
          <w:i/>
        </w:rPr>
        <w:t xml:space="preserve"> </w:t>
      </w:r>
    </w:p>
    <w:p w:rsidR="00591CA3" w:rsidRDefault="00002081">
      <w:pPr>
        <w:spacing w:after="209" w:line="249" w:lineRule="auto"/>
        <w:ind w:left="-5" w:hanging="10"/>
      </w:pPr>
      <w:r>
        <w:rPr>
          <w:b/>
        </w:rPr>
        <w:t xml:space="preserve">I.4.10 Měna pro platby  </w:t>
      </w:r>
    </w:p>
    <w:p w:rsidR="00591CA3" w:rsidRDefault="00002081">
      <w:pPr>
        <w:ind w:left="-7"/>
      </w:pPr>
      <w:r>
        <w:t xml:space="preserve">NA provádí veškeré platby v EUR. </w:t>
      </w:r>
    </w:p>
    <w:p w:rsidR="00591CA3" w:rsidRDefault="00002081">
      <w:pPr>
        <w:spacing w:after="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pStyle w:val="Nadpis2"/>
        <w:spacing w:after="147"/>
        <w:ind w:left="-5" w:right="0"/>
      </w:pPr>
      <w:r>
        <w:t xml:space="preserve">I.4.11 Datum platby  </w:t>
      </w:r>
    </w:p>
    <w:p w:rsidR="00591CA3" w:rsidRDefault="00002081">
      <w:pPr>
        <w:spacing w:after="83"/>
        <w:ind w:left="-7"/>
      </w:pPr>
      <w:r>
        <w:t xml:space="preserve">Platby NA se považují za provedené ke dni, kdy byly odečteny z účtu NA, nestanoví-li vnitrostátní právní předpisy jinak. </w:t>
      </w:r>
    </w:p>
    <w:p w:rsidR="00591CA3" w:rsidRDefault="00002081">
      <w:pPr>
        <w:spacing w:after="142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pStyle w:val="Nadpis2"/>
        <w:spacing w:after="130"/>
        <w:ind w:left="-5" w:right="0"/>
      </w:pPr>
      <w:r>
        <w:t xml:space="preserve">I.4.12 Náklady spojené s převody plateb  </w:t>
      </w:r>
    </w:p>
    <w:p w:rsidR="00591CA3" w:rsidRDefault="00002081">
      <w:pPr>
        <w:spacing w:after="124"/>
        <w:ind w:left="-7"/>
      </w:pPr>
      <w:r>
        <w:t xml:space="preserve">Náklady spojené s převody plateb jsou hrazeny takto: </w:t>
      </w:r>
    </w:p>
    <w:p w:rsidR="00591CA3" w:rsidRDefault="00002081">
      <w:pPr>
        <w:numPr>
          <w:ilvl w:val="0"/>
          <w:numId w:val="5"/>
        </w:numPr>
        <w:ind w:hanging="360"/>
      </w:pPr>
      <w:r>
        <w:t xml:space="preserve">NA hradí náklady spojené s převodem </w:t>
      </w:r>
      <w:r>
        <w:t xml:space="preserve">plateb účtované její bankou; </w:t>
      </w:r>
    </w:p>
    <w:p w:rsidR="00591CA3" w:rsidRDefault="00002081">
      <w:pPr>
        <w:numPr>
          <w:ilvl w:val="0"/>
          <w:numId w:val="5"/>
        </w:numPr>
        <w:ind w:hanging="360"/>
      </w:pPr>
      <w:r>
        <w:t xml:space="preserve">příjemce hradí náklady spojené s převodem plateb účtované jeho bankou; </w:t>
      </w:r>
    </w:p>
    <w:p w:rsidR="00591CA3" w:rsidRDefault="00002081">
      <w:pPr>
        <w:numPr>
          <w:ilvl w:val="0"/>
          <w:numId w:val="5"/>
        </w:numPr>
        <w:ind w:hanging="360"/>
      </w:pPr>
      <w:r>
        <w:lastRenderedPageBreak/>
        <w:t xml:space="preserve">veškeré náklady spojené s opakovanými převody plateb zaviněné některou ze smluvních stran, nese smluvní strana, která opakování převodu zavinila. </w:t>
      </w:r>
    </w:p>
    <w:p w:rsidR="00591CA3" w:rsidRDefault="00002081">
      <w:pPr>
        <w:spacing w:after="13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pStyle w:val="Nadpis2"/>
        <w:spacing w:after="131"/>
        <w:ind w:left="-5" w:right="0"/>
      </w:pPr>
      <w:r>
        <w:t>I.4.1</w:t>
      </w:r>
      <w:r>
        <w:t xml:space="preserve">3 Úroky z prodlení </w:t>
      </w:r>
    </w:p>
    <w:p w:rsidR="00591CA3" w:rsidRDefault="00002081">
      <w:pPr>
        <w:spacing w:after="78"/>
        <w:ind w:left="-7"/>
      </w:pPr>
      <w:r>
        <w:t>Pokud nebyla platba provedena ve stanoveném termínu, má příjemce nárok na úroky z prodlení. Splatnost úroků se určuje podle ustanovení národních právních předpisů vztahujících se na smlouvy, nebo podle pravidel NA. Při neexistenci takov</w:t>
      </w:r>
      <w:r>
        <w:t>ých ustanovení se úrok určuje podle sazby, kterou používá Evropská centrální banka pro své hlavní refinanční operace v eurech (dále jen "referenční sazba") plus tři a půl bodu. Referenční úroková sazba je sazba platná první den měsíce, ve kterém vyprší ter</w:t>
      </w:r>
      <w:r>
        <w:t xml:space="preserve">mín pro platbu, jak byla zveřejněna v řadě C </w:t>
      </w:r>
      <w:r>
        <w:rPr>
          <w:i/>
        </w:rPr>
        <w:t>Úředního věstníku Evropské unie.</w:t>
      </w:r>
      <w:r>
        <w:t xml:space="preserve"> </w:t>
      </w:r>
    </w:p>
    <w:p w:rsidR="00591CA3" w:rsidRDefault="00002081">
      <w:pPr>
        <w:spacing w:after="130"/>
        <w:ind w:left="-7"/>
      </w:pPr>
      <w:r>
        <w:t xml:space="preserve">Pozastavení lhůty pro platby v souladu s článkem II.24.2, nebo pozastavení plateb ze strany NA v souladu s článkem II.24.1 nelze považovat za platbu v prodlení. </w:t>
      </w:r>
    </w:p>
    <w:p w:rsidR="00591CA3" w:rsidRDefault="00002081">
      <w:pPr>
        <w:spacing w:after="128"/>
        <w:ind w:left="-7"/>
      </w:pPr>
      <w:r>
        <w:t xml:space="preserve">Úroky z prodlení pokrývají období od prvního dne následujícího po datu splatnosti až do data skutečné platby (včetně) v souladu s článkem I.4.11. NA nebere úrok z prodlení v úvahu při stanovení konečné výše grantu ve smyslu článku II.25. </w:t>
      </w:r>
    </w:p>
    <w:p w:rsidR="00591CA3" w:rsidRDefault="00002081">
      <w:pPr>
        <w:ind w:left="-7"/>
      </w:pPr>
      <w:r>
        <w:t>Pokud bude vypočt</w:t>
      </w:r>
      <w:r>
        <w:t xml:space="preserve">ený úrok nižší nebo roven částce 200 EUR, vyplácí se příjemci výjimečně, a to pouze v případě, že o to příjemce požádá do dvou měsíců od přijetí platby v prodlení. </w:t>
      </w:r>
    </w:p>
    <w:p w:rsidR="00591CA3" w:rsidRDefault="00002081">
      <w:pPr>
        <w:spacing w:after="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spacing w:after="3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pStyle w:val="Nadpis1"/>
        <w:spacing w:after="178"/>
        <w:ind w:left="-5" w:right="0"/>
      </w:pPr>
      <w:bookmarkStart w:id="4" w:name="_Toc22526"/>
      <w:r>
        <w:t xml:space="preserve">ČLÁNEK I.5 – BANKOVNÍ ÚČET PRO PLATBY  </w:t>
      </w:r>
      <w:bookmarkEnd w:id="4"/>
    </w:p>
    <w:p w:rsidR="00591CA3" w:rsidRDefault="00002081">
      <w:pPr>
        <w:spacing w:after="23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-7"/>
      </w:pPr>
      <w:r>
        <w:t>Všechny platby musí být poukázány na bankovní</w:t>
      </w:r>
      <w:r>
        <w:t xml:space="preserve"> účet příjemce, jak je uvedeno níže: </w:t>
      </w:r>
    </w:p>
    <w:p w:rsidR="00591CA3" w:rsidRDefault="00002081">
      <w:pPr>
        <w:spacing w:after="29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591CA3" w:rsidRDefault="00002081">
      <w:pPr>
        <w:tabs>
          <w:tab w:val="center" w:pos="4321"/>
          <w:tab w:val="center" w:pos="5041"/>
        </w:tabs>
        <w:spacing w:after="42" w:line="249" w:lineRule="auto"/>
        <w:ind w:left="-15" w:firstLine="0"/>
        <w:jc w:val="left"/>
      </w:pPr>
      <w:r>
        <w:t xml:space="preserve">Název banky: </w:t>
      </w:r>
      <w:r>
        <w:rPr>
          <w:b/>
        </w:rPr>
        <w:t>Komerční banka, a. s.</w:t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591CA3" w:rsidRDefault="00002081">
      <w:pPr>
        <w:pStyle w:val="Nadpis2"/>
        <w:ind w:left="-5" w:right="0"/>
      </w:pPr>
      <w:r>
        <w:rPr>
          <w:b w:val="0"/>
        </w:rPr>
        <w:t xml:space="preserve">Adresa pobočky banky: </w:t>
      </w:r>
      <w:r>
        <w:t>Bílinská 175/2, 400 42 Ústí nad Labem</w:t>
      </w:r>
      <w:r>
        <w:rPr>
          <w:b w:val="0"/>
        </w:rPr>
        <w:t xml:space="preserve"> Přesný název majitele účtu:</w:t>
      </w:r>
      <w:r>
        <w:t xml:space="preserve"> Střední průmyslová škola, Ústí nad Labem, Resslova 5, příspěvková organizace</w:t>
      </w:r>
      <w:r>
        <w:rPr>
          <w:b w:val="0"/>
        </w:rPr>
        <w:t xml:space="preserve"> </w:t>
      </w:r>
      <w:r>
        <w:rPr>
          <w:b w:val="0"/>
        </w:rPr>
        <w:tab/>
        <w:t xml:space="preserve"> Úplné č</w:t>
      </w:r>
      <w:r>
        <w:rPr>
          <w:b w:val="0"/>
        </w:rPr>
        <w:t xml:space="preserve">íslo účtu (včetně kódu banky): </w:t>
      </w:r>
    </w:p>
    <w:p w:rsidR="00591CA3" w:rsidRDefault="00002081">
      <w:pPr>
        <w:ind w:left="-7"/>
      </w:pPr>
      <w:r>
        <w:t xml:space="preserve">SWIFT (pouze u účtů vedených v EUR): </w:t>
      </w:r>
    </w:p>
    <w:p w:rsidR="00591CA3" w:rsidRDefault="00002081">
      <w:pPr>
        <w:ind w:left="-7"/>
      </w:pPr>
      <w:r>
        <w:t xml:space="preserve">Měna, ve které je účet veden: </w:t>
      </w:r>
      <w:r>
        <w:rPr>
          <w:b/>
        </w:rPr>
        <w:t>EUR</w:t>
      </w:r>
      <w:r>
        <w:t xml:space="preserve"> </w:t>
      </w:r>
    </w:p>
    <w:p w:rsidR="00591CA3" w:rsidRDefault="00002081">
      <w:pPr>
        <w:spacing w:after="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spacing w:after="33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pStyle w:val="Nadpis1"/>
        <w:spacing w:after="183"/>
        <w:ind w:left="-5" w:right="0"/>
      </w:pPr>
      <w:bookmarkStart w:id="5" w:name="_Toc22527"/>
      <w:r>
        <w:t xml:space="preserve">ČLÁNEK I.6 – SPRÁVCE ÚDAJŮ A KONTAKTNÍ ÚDAJE SMLUVNÍCH STRAN  </w:t>
      </w:r>
      <w:bookmarkEnd w:id="5"/>
    </w:p>
    <w:p w:rsidR="00591CA3" w:rsidRDefault="00002081">
      <w:pPr>
        <w:spacing w:after="13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591CA3" w:rsidRDefault="00002081">
      <w:pPr>
        <w:spacing w:after="265" w:line="249" w:lineRule="auto"/>
        <w:ind w:left="-5" w:hanging="10"/>
      </w:pPr>
      <w:r>
        <w:rPr>
          <w:b/>
        </w:rPr>
        <w:t xml:space="preserve">I.6.1 </w:t>
      </w:r>
      <w:r>
        <w:rPr>
          <w:b/>
        </w:rPr>
        <w:t>Správce údajů</w:t>
      </w:r>
      <w:r>
        <w:t xml:space="preserve"> </w:t>
      </w:r>
    </w:p>
    <w:p w:rsidR="00591CA3" w:rsidRDefault="00002081">
      <w:pPr>
        <w:ind w:left="-7"/>
      </w:pPr>
      <w:r>
        <w:t xml:space="preserve">Subjekt působící jako správce údajů ve smyslu článku II.7 je Dům zahraniční spolupráce. </w:t>
      </w:r>
    </w:p>
    <w:p w:rsidR="00591CA3" w:rsidRDefault="00002081">
      <w:pPr>
        <w:spacing w:after="13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pStyle w:val="Nadpis2"/>
        <w:ind w:left="-5" w:right="0"/>
      </w:pPr>
      <w:r>
        <w:t>I.6.2 Kontaktní údaje NA</w:t>
      </w:r>
      <w:r>
        <w:rPr>
          <w:b w:val="0"/>
        </w:rPr>
        <w:t xml:space="preserve"> </w:t>
      </w:r>
    </w:p>
    <w:p w:rsidR="00591CA3" w:rsidRDefault="00002081">
      <w:pPr>
        <w:spacing w:after="3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-7"/>
      </w:pPr>
      <w:r>
        <w:lastRenderedPageBreak/>
        <w:t>Jakákoli sdělení zasílá příjemce na tuto adresu:</w:t>
      </w:r>
      <w:r>
        <w:rPr>
          <w:i/>
        </w:rPr>
        <w:t xml:space="preserve"> </w:t>
      </w:r>
    </w:p>
    <w:p w:rsidR="00591CA3" w:rsidRDefault="00002081">
      <w:pPr>
        <w:spacing w:after="22" w:line="259" w:lineRule="auto"/>
        <w:ind w:left="720" w:firstLine="0"/>
        <w:jc w:val="left"/>
      </w:pPr>
      <w:r>
        <w:rPr>
          <w:i/>
        </w:rPr>
        <w:t xml:space="preserve"> </w:t>
      </w:r>
    </w:p>
    <w:p w:rsidR="00591CA3" w:rsidRDefault="00002081">
      <w:pPr>
        <w:spacing w:line="268" w:lineRule="auto"/>
        <w:ind w:left="715" w:right="543" w:hanging="10"/>
        <w:jc w:val="left"/>
      </w:pPr>
      <w:r>
        <w:rPr>
          <w:i/>
        </w:rPr>
        <w:t xml:space="preserve">Dům zahraniční spolupráce </w:t>
      </w:r>
    </w:p>
    <w:p w:rsidR="00591CA3" w:rsidRDefault="00002081">
      <w:pPr>
        <w:spacing w:line="268" w:lineRule="auto"/>
        <w:ind w:left="715" w:right="543" w:hanging="10"/>
        <w:jc w:val="left"/>
      </w:pPr>
      <w:r>
        <w:rPr>
          <w:i/>
        </w:rPr>
        <w:t xml:space="preserve">Na Poříčí 1035/4 </w:t>
      </w:r>
    </w:p>
    <w:p w:rsidR="00591CA3" w:rsidRDefault="00002081">
      <w:pPr>
        <w:spacing w:line="268" w:lineRule="auto"/>
        <w:ind w:left="715" w:right="543" w:hanging="10"/>
        <w:jc w:val="left"/>
      </w:pPr>
      <w:r>
        <w:rPr>
          <w:i/>
        </w:rPr>
        <w:t>110 00, Praha 1, Česká re</w:t>
      </w:r>
      <w:r>
        <w:rPr>
          <w:i/>
        </w:rPr>
        <w:t xml:space="preserve">publika </w:t>
      </w:r>
    </w:p>
    <w:p w:rsidR="00591CA3" w:rsidRDefault="00002081">
      <w:pPr>
        <w:spacing w:after="0" w:line="259" w:lineRule="auto"/>
        <w:ind w:left="720" w:firstLine="0"/>
        <w:jc w:val="left"/>
      </w:pPr>
      <w:r>
        <w:rPr>
          <w:i/>
        </w:rPr>
        <w:t xml:space="preserve"> </w:t>
      </w:r>
    </w:p>
    <w:p w:rsidR="00591CA3" w:rsidRDefault="00002081">
      <w:pPr>
        <w:spacing w:line="268" w:lineRule="auto"/>
        <w:ind w:left="715" w:right="543" w:hanging="10"/>
        <w:jc w:val="left"/>
      </w:pPr>
      <w:r>
        <w:rPr>
          <w:i/>
        </w:rPr>
        <w:t xml:space="preserve">E-mailová adresa: </w:t>
      </w:r>
      <w:bookmarkStart w:id="6" w:name="_GoBack"/>
      <w:bookmarkEnd w:id="6"/>
    </w:p>
    <w:p w:rsidR="00591CA3" w:rsidRDefault="00002081">
      <w:pPr>
        <w:spacing w:after="0" w:line="259" w:lineRule="auto"/>
        <w:ind w:left="0" w:firstLine="0"/>
        <w:jc w:val="left"/>
      </w:pPr>
      <w:r>
        <w:rPr>
          <w:i/>
        </w:rPr>
        <w:t xml:space="preserve">  </w:t>
      </w:r>
    </w:p>
    <w:p w:rsidR="00591CA3" w:rsidRDefault="00002081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591CA3" w:rsidRDefault="00002081">
      <w:pPr>
        <w:pStyle w:val="Nadpis2"/>
        <w:ind w:left="-5" w:right="0"/>
      </w:pPr>
      <w:r>
        <w:t xml:space="preserve">I.6.3 Kontaktní údaje příjemce grantu </w:t>
      </w:r>
    </w:p>
    <w:p w:rsidR="00591CA3" w:rsidRDefault="0000208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91CA3" w:rsidRDefault="00002081">
      <w:pPr>
        <w:ind w:left="-7"/>
      </w:pPr>
      <w:r>
        <w:t xml:space="preserve">Jakákoli sdělení zasílá NA příjemci na tuto adresu: </w:t>
      </w:r>
    </w:p>
    <w:p w:rsidR="00591CA3" w:rsidRDefault="00002081">
      <w:pPr>
        <w:spacing w:after="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spacing w:line="268" w:lineRule="auto"/>
        <w:ind w:left="715" w:right="543" w:hanging="10"/>
        <w:jc w:val="left"/>
      </w:pPr>
      <w:r>
        <w:rPr>
          <w:i/>
        </w:rPr>
        <w:t xml:space="preserve">Mgr. Bc. Jaroslav Mareš  </w:t>
      </w:r>
    </w:p>
    <w:p w:rsidR="00591CA3" w:rsidRDefault="00002081">
      <w:pPr>
        <w:spacing w:line="268" w:lineRule="auto"/>
        <w:ind w:left="715" w:right="543" w:hanging="10"/>
        <w:jc w:val="left"/>
      </w:pPr>
      <w:r>
        <w:rPr>
          <w:i/>
        </w:rPr>
        <w:t xml:space="preserve">Ředitel školy </w:t>
      </w:r>
    </w:p>
    <w:p w:rsidR="00591CA3" w:rsidRDefault="00002081">
      <w:pPr>
        <w:spacing w:line="268" w:lineRule="auto"/>
        <w:ind w:left="715" w:right="543" w:hanging="10"/>
        <w:jc w:val="left"/>
      </w:pPr>
      <w:r>
        <w:rPr>
          <w:i/>
        </w:rPr>
        <w:t xml:space="preserve">Střední průmyslová škola, Ústí nad Labem, Resslova 5, příspěvková organizace </w:t>
      </w:r>
    </w:p>
    <w:p w:rsidR="00591CA3" w:rsidRDefault="00002081">
      <w:pPr>
        <w:spacing w:line="268" w:lineRule="auto"/>
        <w:ind w:left="715" w:right="543" w:hanging="10"/>
        <w:jc w:val="left"/>
      </w:pPr>
      <w:r>
        <w:rPr>
          <w:i/>
        </w:rPr>
        <w:t xml:space="preserve">Resslova 5, 40001 Ústí nad Labem </w:t>
      </w:r>
    </w:p>
    <w:p w:rsidR="00591CA3" w:rsidRDefault="00002081">
      <w:pPr>
        <w:spacing w:line="268" w:lineRule="auto"/>
        <w:ind w:left="715" w:right="543" w:hanging="10"/>
        <w:jc w:val="left"/>
      </w:pPr>
      <w:r>
        <w:rPr>
          <w:i/>
        </w:rPr>
        <w:t xml:space="preserve">E-mailová adresa: </w:t>
      </w:r>
    </w:p>
    <w:p w:rsidR="00591CA3" w:rsidRDefault="00002081">
      <w:pPr>
        <w:spacing w:after="22" w:line="259" w:lineRule="auto"/>
        <w:ind w:left="0" w:firstLine="0"/>
        <w:jc w:val="left"/>
      </w:pPr>
      <w:r>
        <w:rPr>
          <w:i/>
          <w:color w:val="FF0000"/>
        </w:rPr>
        <w:t xml:space="preserve"> </w:t>
      </w:r>
    </w:p>
    <w:p w:rsidR="00591CA3" w:rsidRDefault="00002081">
      <w:pPr>
        <w:ind w:left="-7"/>
      </w:pPr>
      <w:r>
        <w:t xml:space="preserve">Běžná projektová komunikace bude vedena s kontaktní osobou. </w:t>
      </w:r>
    </w:p>
    <w:p w:rsidR="00591CA3" w:rsidRDefault="00002081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591CA3" w:rsidRDefault="00002081">
      <w:pPr>
        <w:pStyle w:val="Nadpis1"/>
        <w:spacing w:after="224"/>
        <w:ind w:left="-5" w:right="0"/>
      </w:pPr>
      <w:bookmarkStart w:id="7" w:name="_Toc22528"/>
      <w:r>
        <w:t xml:space="preserve">ČLÁNEK I.7 – </w:t>
      </w:r>
      <w:r>
        <w:t xml:space="preserve">OCHRANA A BEZPEČNOST ÚČASTNÍKŮ  </w:t>
      </w:r>
      <w:bookmarkEnd w:id="7"/>
    </w:p>
    <w:p w:rsidR="00591CA3" w:rsidRDefault="00002081">
      <w:pPr>
        <w:ind w:left="-7"/>
      </w:pPr>
      <w:r>
        <w:t xml:space="preserve">Příjemce grantu musí mít zavedeny účinné postupy a opatření na podporu a k zajištění bezpečnosti a ochrany účastníků jeho projektu.  </w:t>
      </w:r>
    </w:p>
    <w:p w:rsidR="00591CA3" w:rsidRDefault="00002081">
      <w:pPr>
        <w:spacing w:after="22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-7"/>
      </w:pPr>
      <w:r>
        <w:t>Příjemce grantu musí zajistit, aby účastníci zahraničních mobilit byli náležitě pojiště</w:t>
      </w:r>
      <w:r>
        <w:t xml:space="preserve">ni. </w:t>
      </w:r>
    </w:p>
    <w:p w:rsidR="00591CA3" w:rsidRDefault="00002081">
      <w:pPr>
        <w:spacing w:after="3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pStyle w:val="Nadpis1"/>
        <w:spacing w:after="208"/>
        <w:ind w:left="-5" w:right="0"/>
      </w:pPr>
      <w:bookmarkStart w:id="8" w:name="_Toc22529"/>
      <w:r>
        <w:t xml:space="preserve">ČLÁNEK I.8 – DALŠÍ USTANOVENÍ O VYUŽITÍ VÝSLEDKŮ (VČETNĚ </w:t>
      </w:r>
      <w:bookmarkEnd w:id="8"/>
    </w:p>
    <w:p w:rsidR="00591CA3" w:rsidRDefault="00002081">
      <w:pPr>
        <w:pStyle w:val="Nadpis1"/>
        <w:spacing w:after="208"/>
        <w:ind w:left="-5" w:right="0"/>
      </w:pPr>
      <w:bookmarkStart w:id="9" w:name="_Toc22530"/>
      <w:r>
        <w:t xml:space="preserve">DUŠEVNÍHO A PRŮMYSLOVÉHO VLASTNICTVÍ)  </w:t>
      </w:r>
      <w:bookmarkEnd w:id="9"/>
    </w:p>
    <w:p w:rsidR="00591CA3" w:rsidRDefault="00002081">
      <w:pPr>
        <w:ind w:left="-7"/>
      </w:pPr>
      <w:r>
        <w:t xml:space="preserve">V návaznosti na ustanovení článku II.9.3, pokud příjemce grantu vypracuje </w:t>
      </w:r>
      <w:r>
        <w:t>vzdělávací materiály v oblasti působnosti projektu, budou tyto materiály zpřístupněny veřejnosti prostřednictvím internetu v digitální podobě, bezplatně, na základě otevřených licencí</w:t>
      </w:r>
      <w:r>
        <w:rPr>
          <w:vertAlign w:val="superscript"/>
        </w:rPr>
        <w:footnoteReference w:id="3"/>
      </w:r>
      <w:r>
        <w:t xml:space="preserve">. </w:t>
      </w:r>
    </w:p>
    <w:p w:rsidR="00591CA3" w:rsidRDefault="00002081">
      <w:pPr>
        <w:spacing w:after="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spacing w:after="28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pStyle w:val="Nadpis1"/>
        <w:ind w:left="-5" w:right="0"/>
      </w:pPr>
      <w:bookmarkStart w:id="10" w:name="_Toc22531"/>
      <w:r>
        <w:t xml:space="preserve">ČLÁNEK I.9 – VYUŽÍVÁNÍ IT NÁSTROJŮ  </w:t>
      </w:r>
      <w:bookmarkEnd w:id="10"/>
    </w:p>
    <w:p w:rsidR="00591CA3" w:rsidRDefault="00002081">
      <w:pPr>
        <w:tabs>
          <w:tab w:val="center" w:pos="2461"/>
        </w:tabs>
        <w:spacing w:after="13" w:line="249" w:lineRule="auto"/>
        <w:ind w:left="-15" w:firstLine="0"/>
        <w:jc w:val="left"/>
      </w:pPr>
      <w:r>
        <w:rPr>
          <w:b/>
        </w:rPr>
        <w:t xml:space="preserve">I.9.1 </w:t>
      </w:r>
      <w:r>
        <w:rPr>
          <w:b/>
        </w:rPr>
        <w:tab/>
        <w:t>Mobility Tool+/Databá</w:t>
      </w:r>
      <w:r>
        <w:rPr>
          <w:b/>
        </w:rPr>
        <w:t xml:space="preserve">ze mobility </w:t>
      </w:r>
    </w:p>
    <w:p w:rsidR="00591CA3" w:rsidRDefault="00002081">
      <w:pPr>
        <w:spacing w:after="12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591CA3" w:rsidRDefault="00002081">
      <w:pPr>
        <w:ind w:left="-7"/>
      </w:pPr>
      <w:r>
        <w:t xml:space="preserve">Příjemce je povinen prostřednictvím on-line nástroje Mobility Tool+/Databáze mobility zaznamenávat veškeré informace týkající se všech realizovaných aktivit, včetně těch, na které nebyl poskytnut grant EU, vypracovávat dílčí a průběžné </w:t>
      </w:r>
      <w:r>
        <w:t xml:space="preserve">zprávy (v souladu s článkem I.4.3 a je-li nástroj k dispozici) a vypracovávat závěrečné zprávy. </w:t>
      </w:r>
    </w:p>
    <w:p w:rsidR="00591CA3" w:rsidRDefault="00002081">
      <w:pPr>
        <w:spacing w:after="19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-7"/>
      </w:pPr>
      <w:r>
        <w:t>Minimálně jednou měsíčně je příjemce grantu povinen vložit a aktualizovat nové údaje o účastnících a mobilitách.</w:t>
      </w:r>
      <w:r>
        <w:rPr>
          <w:b/>
        </w:rPr>
        <w:t xml:space="preserve">  </w:t>
      </w:r>
    </w:p>
    <w:p w:rsidR="00591CA3" w:rsidRDefault="00002081">
      <w:pPr>
        <w:spacing w:after="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spacing w:after="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spacing w:after="604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spacing w:after="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pStyle w:val="Nadpis2"/>
        <w:tabs>
          <w:tab w:val="center" w:pos="3350"/>
        </w:tabs>
        <w:ind w:left="-15" w:right="0" w:firstLine="0"/>
        <w:jc w:val="left"/>
      </w:pPr>
      <w:r>
        <w:t xml:space="preserve">I.9.2 </w:t>
      </w:r>
      <w:r>
        <w:tab/>
        <w:t>Platforma pro šíření výsled</w:t>
      </w:r>
      <w:r>
        <w:t xml:space="preserve">ků programu Erasmus+ </w:t>
      </w:r>
    </w:p>
    <w:p w:rsidR="00591CA3" w:rsidRDefault="00002081">
      <w:pPr>
        <w:spacing w:after="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ind w:left="-7"/>
      </w:pPr>
      <w:r>
        <w:t xml:space="preserve">Příjemce může k šíření výsledků projektu využít Platformu pro šíření výsledků programu Erasmus+ </w:t>
      </w:r>
      <w:hyperlink r:id="rId23">
        <w:r>
          <w:t>(</w:t>
        </w:r>
      </w:hyperlink>
      <w:hyperlink r:id="rId24">
        <w:r>
          <w:rPr>
            <w:color w:val="0000FF"/>
            <w:u w:val="single" w:color="0000FF"/>
          </w:rPr>
          <w:t>http://ec.europa.eu/programmes/erasmus</w:t>
        </w:r>
      </w:hyperlink>
      <w:hyperlink r:id="rId25">
        <w:r>
          <w:rPr>
            <w:color w:val="0000FF"/>
            <w:u w:val="single" w:color="0000FF"/>
          </w:rPr>
          <w:t>-</w:t>
        </w:r>
      </w:hyperlink>
      <w:hyperlink r:id="rId26">
        <w:r>
          <w:rPr>
            <w:color w:val="0000FF"/>
            <w:u w:val="single" w:color="0000FF"/>
          </w:rPr>
          <w:t>plus/projects/</w:t>
        </w:r>
      </w:hyperlink>
      <w:hyperlink r:id="rId27">
        <w:r>
          <w:t>)</w:t>
        </w:r>
      </w:hyperlink>
      <w:r>
        <w:t xml:space="preserve"> podle pokynů uvedených na těchto stránkách. </w:t>
      </w:r>
    </w:p>
    <w:p w:rsidR="00591CA3" w:rsidRDefault="00002081">
      <w:pPr>
        <w:spacing w:after="32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pStyle w:val="Nadpis1"/>
        <w:spacing w:after="211"/>
        <w:ind w:left="-5" w:right="0"/>
      </w:pPr>
      <w:bookmarkStart w:id="11" w:name="_Toc22532"/>
      <w:r>
        <w:t xml:space="preserve">ČLÁNEK I.10 – DODATEČNÁ USTANOVENÍ O SUBDODÁVKÁCH  </w:t>
      </w:r>
      <w:bookmarkEnd w:id="11"/>
    </w:p>
    <w:p w:rsidR="00591CA3" w:rsidRDefault="00002081">
      <w:pPr>
        <w:ind w:left="-7"/>
      </w:pPr>
      <w:r>
        <w:t xml:space="preserve">Odchylně, ustanovení článku II.11.1 c) a d) se nepoužijí.  </w:t>
      </w:r>
    </w:p>
    <w:p w:rsidR="00591CA3" w:rsidRDefault="0000208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91CA3" w:rsidRDefault="00002081">
      <w:pPr>
        <w:spacing w:after="3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pStyle w:val="Nadpis1"/>
        <w:spacing w:after="220"/>
        <w:ind w:left="-5" w:right="0"/>
      </w:pPr>
      <w:bookmarkStart w:id="12" w:name="_Toc22533"/>
      <w:r>
        <w:t xml:space="preserve">ČLÁNEK I.11 – DODATEČNÁ USTANOVENÍ O VIDITELNOSTI FINANCOVÁNÍ </w:t>
      </w:r>
      <w:bookmarkEnd w:id="12"/>
    </w:p>
    <w:p w:rsidR="00591CA3" w:rsidRDefault="00002081">
      <w:pPr>
        <w:pStyle w:val="Nadpis1"/>
        <w:spacing w:after="220"/>
        <w:ind w:left="-5" w:right="0"/>
      </w:pPr>
      <w:bookmarkStart w:id="13" w:name="_Toc22534"/>
      <w:r>
        <w:t xml:space="preserve">EVROPSKOU UNIÍ </w:t>
      </w:r>
      <w:bookmarkEnd w:id="13"/>
    </w:p>
    <w:p w:rsidR="00591CA3" w:rsidRDefault="00002081">
      <w:pPr>
        <w:ind w:left="-7"/>
      </w:pPr>
      <w:r>
        <w:t xml:space="preserve">Aniž je dotčen článek II.8, musí příjemce ve veškerých sděleních a propagačních materiálech uvést, že získal podporu v rámci programu Erasmus+. Pokyny pro příjemce a třetí strany jsou k dispozici na </w:t>
      </w:r>
      <w:hyperlink r:id="rId28">
        <w:r>
          <w:rPr>
            <w:color w:val="0000FF"/>
            <w:u w:val="single" w:color="0000FF"/>
          </w:rPr>
          <w:t>http://eacea.ec.europa.eu/about</w:t>
        </w:r>
      </w:hyperlink>
      <w:hyperlink r:id="rId29">
        <w:r>
          <w:rPr>
            <w:color w:val="0000FF"/>
            <w:u w:val="single" w:color="0000FF"/>
          </w:rPr>
          <w:t>-</w:t>
        </w:r>
      </w:hyperlink>
      <w:hyperlink r:id="rId30">
        <w:r>
          <w:rPr>
            <w:color w:val="0000FF"/>
            <w:u w:val="single" w:color="0000FF"/>
          </w:rPr>
          <w:t>eacea/visual</w:t>
        </w:r>
      </w:hyperlink>
      <w:hyperlink r:id="rId31">
        <w:r>
          <w:rPr>
            <w:color w:val="0000FF"/>
            <w:u w:val="single" w:color="0000FF"/>
          </w:rPr>
          <w:t>-</w:t>
        </w:r>
      </w:hyperlink>
      <w:hyperlink r:id="rId32">
        <w:r>
          <w:rPr>
            <w:color w:val="0000FF"/>
            <w:u w:val="single" w:color="0000FF"/>
          </w:rPr>
          <w:t>identity_en</w:t>
        </w:r>
      </w:hyperlink>
      <w:hyperlink r:id="rId33">
        <w:r>
          <w:rPr>
            <w:color w:val="0000FF"/>
            <w:u w:val="single" w:color="0000FF"/>
          </w:rPr>
          <w:t>.</w:t>
        </w:r>
      </w:hyperlink>
      <w:r>
        <w:t xml:space="preserve"> </w:t>
      </w:r>
    </w:p>
    <w:p w:rsidR="00591CA3" w:rsidRDefault="00002081">
      <w:pPr>
        <w:spacing w:after="29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pStyle w:val="Nadpis1"/>
        <w:spacing w:after="224"/>
        <w:ind w:left="-5" w:right="0"/>
      </w:pPr>
      <w:bookmarkStart w:id="14" w:name="_Toc22535"/>
      <w:r>
        <w:t>ČLÁNEK I.12 –</w:t>
      </w:r>
      <w:r>
        <w:t xml:space="preserve"> PODPORA ÚČASTNÍKŮ </w:t>
      </w:r>
      <w:bookmarkEnd w:id="14"/>
    </w:p>
    <w:p w:rsidR="00591CA3" w:rsidRDefault="00002081">
      <w:pPr>
        <w:ind w:left="-7"/>
      </w:pPr>
      <w:r>
        <w:t xml:space="preserve">Pokud uskutečnění projektu vyžaduje poskytnutí podpory účastníkům, příjemce grantu takovou podporu poskytne v souladu s podmínkami stanovenými v příloze II a příloze V (je-li relevantní), jež musí obsahovat alespoň: </w:t>
      </w:r>
    </w:p>
    <w:p w:rsidR="00591CA3" w:rsidRDefault="00002081">
      <w:pPr>
        <w:spacing w:after="24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numPr>
          <w:ilvl w:val="0"/>
          <w:numId w:val="6"/>
        </w:numPr>
        <w:ind w:hanging="360"/>
      </w:pPr>
      <w:r>
        <w:t>maximální výši po</w:t>
      </w:r>
      <w:r>
        <w:t xml:space="preserve">dpory, která nesmí přesáhnout 60 000 EUR na účastníka; </w:t>
      </w:r>
    </w:p>
    <w:p w:rsidR="00591CA3" w:rsidRDefault="00002081">
      <w:pPr>
        <w:numPr>
          <w:ilvl w:val="0"/>
          <w:numId w:val="6"/>
        </w:numPr>
        <w:ind w:hanging="360"/>
      </w:pPr>
      <w:r>
        <w:t xml:space="preserve">kritéria pro stanovení přesné výše podpory; </w:t>
      </w:r>
    </w:p>
    <w:p w:rsidR="00591CA3" w:rsidRDefault="00002081">
      <w:pPr>
        <w:numPr>
          <w:ilvl w:val="0"/>
          <w:numId w:val="6"/>
        </w:numPr>
        <w:ind w:hanging="360"/>
      </w:pPr>
      <w:r>
        <w:t xml:space="preserve">aktivity, na které může účastník získat podporu, dle stanoveného seznamu; </w:t>
      </w:r>
    </w:p>
    <w:p w:rsidR="00591CA3" w:rsidRDefault="00002081">
      <w:pPr>
        <w:numPr>
          <w:ilvl w:val="0"/>
          <w:numId w:val="6"/>
        </w:numPr>
        <w:spacing w:after="123"/>
        <w:ind w:hanging="360"/>
      </w:pPr>
      <w:r>
        <w:lastRenderedPageBreak/>
        <w:t>vymezení osob nebo kategorií osob, které mohou podporu získat; (e)</w:t>
      </w:r>
      <w:r>
        <w:rPr>
          <w:rFonts w:ascii="Arial" w:eastAsia="Arial" w:hAnsi="Arial" w:cs="Arial"/>
        </w:rPr>
        <w:t xml:space="preserve"> </w:t>
      </w:r>
      <w:r>
        <w:t xml:space="preserve">kritéria pro </w:t>
      </w:r>
      <w:r>
        <w:t xml:space="preserve">poskytnutí podpory. </w:t>
      </w:r>
    </w:p>
    <w:p w:rsidR="00591CA3" w:rsidRDefault="00002081">
      <w:pPr>
        <w:spacing w:after="213"/>
        <w:ind w:left="-7"/>
      </w:pPr>
      <w:r>
        <w:t xml:space="preserve">Podle dokumentace uvedené v příloze V příjemce musí: </w:t>
      </w:r>
    </w:p>
    <w:p w:rsidR="00591CA3" w:rsidRDefault="00002081">
      <w:pPr>
        <w:numPr>
          <w:ilvl w:val="0"/>
          <w:numId w:val="7"/>
        </w:numPr>
        <w:spacing w:after="210"/>
        <w:ind w:hanging="360"/>
      </w:pPr>
      <w:r>
        <w:t xml:space="preserve">Buď přidělit finanční podporu v rámci rozpočtových kategorií cestovních nákladů/pobytových nákladů/jazykové podpory </w:t>
      </w:r>
      <w:r>
        <w:t xml:space="preserve">v plné výši účastníkům mobility s využitím sazeb jednotkových nákladů specifikovaných v příloze IV; </w:t>
      </w:r>
    </w:p>
    <w:p w:rsidR="00591CA3" w:rsidRDefault="00002081">
      <w:pPr>
        <w:numPr>
          <w:ilvl w:val="0"/>
          <w:numId w:val="7"/>
        </w:numPr>
        <w:spacing w:after="208"/>
        <w:ind w:hanging="360"/>
      </w:pPr>
      <w:r>
        <w:t>nebo poskytnout podporu v rámci rozpočtových kategorií cestovních nákladů/pobytových nákladů/jazykové podpory účastníkům mobility formou zajištění cesty/ub</w:t>
      </w:r>
      <w:r>
        <w:t xml:space="preserve">ytování/jazykové podpory. V takovém případě má příjemce grantu povinnost zajistit, aby cesta/pobyt/jazyková podpora odpovídaly nezbytným standardům kvality a bezpečnosti. </w:t>
      </w:r>
      <w:r>
        <w:rPr>
          <w:b/>
          <w:i/>
        </w:rPr>
        <w:t xml:space="preserve"> </w:t>
      </w:r>
    </w:p>
    <w:p w:rsidR="00591CA3" w:rsidRDefault="00002081">
      <w:pPr>
        <w:ind w:left="-7"/>
      </w:pPr>
      <w:r>
        <w:t>Příjemce může kombinovat obě možnosti definované v předchozím odstavci s podmínkou,</w:t>
      </w:r>
      <w:r>
        <w:t xml:space="preserve"> že zajistí spravedlivý a rovný přístup ke všem účastníkům. V takovém případě se podmínky pro tu kterou možnost budou vztahovat na rozpočtové kategorie, u které bude tato možnost zvolena. </w:t>
      </w:r>
    </w:p>
    <w:p w:rsidR="00591CA3" w:rsidRDefault="00002081">
      <w:pPr>
        <w:spacing w:after="26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591CA3" w:rsidRDefault="00002081">
      <w:pPr>
        <w:pStyle w:val="Nadpis1"/>
        <w:spacing w:after="225"/>
        <w:ind w:left="-5" w:right="0"/>
      </w:pPr>
      <w:bookmarkStart w:id="15" w:name="_Toc22536"/>
      <w:r>
        <w:t>ČLÁNEK I.13 – SOUHLAS RODIČŮ/ZÁKONNÝCH ZÁSTUPCŮ</w:t>
      </w:r>
      <w:r>
        <w:rPr>
          <w:i/>
        </w:rPr>
        <w:t xml:space="preserve">  </w:t>
      </w:r>
      <w:bookmarkEnd w:id="15"/>
    </w:p>
    <w:p w:rsidR="00591CA3" w:rsidRDefault="00002081">
      <w:pPr>
        <w:ind w:left="-7"/>
      </w:pPr>
      <w:r>
        <w:t>Příjemce grantu</w:t>
      </w:r>
      <w:r>
        <w:t xml:space="preserve"> musí získat souhlas rodičů/zákonných zástupců s účastí nezletilých účastníků na mobilitě před jejím zahájením.  </w:t>
      </w:r>
    </w:p>
    <w:p w:rsidR="00591CA3" w:rsidRDefault="00002081">
      <w:pPr>
        <w:pStyle w:val="Nadpis1"/>
        <w:spacing w:after="222"/>
        <w:ind w:left="-5" w:right="0"/>
      </w:pPr>
      <w:bookmarkStart w:id="16" w:name="_Toc22537"/>
      <w:r>
        <w:t xml:space="preserve">ČLÁNEK I.14 – SPECIFICKÉ ODCHYLKY OD PŘÍLOHY I - VŠEOBECNÉ PODMÍNKY </w:t>
      </w:r>
      <w:bookmarkEnd w:id="16"/>
    </w:p>
    <w:p w:rsidR="00591CA3" w:rsidRDefault="00002081">
      <w:pPr>
        <w:spacing w:after="203"/>
        <w:ind w:left="-7"/>
      </w:pPr>
      <w:r>
        <w:t>1. Pro účely této smlouvy, v příloze I Všeobecné podmínky, termín „Komise</w:t>
      </w:r>
      <w:r>
        <w:t xml:space="preserve">“ musí být chápán jako „NA“, termín „akce“ musí být chápán jako „projekt“ a termín „jednotkové náklady“ musí být chápán jako „jednotkový příspěvek“, není-li stanoveno jinak. </w:t>
      </w:r>
    </w:p>
    <w:p w:rsidR="00591CA3" w:rsidRDefault="00002081">
      <w:pPr>
        <w:spacing w:after="206"/>
        <w:ind w:left="-7"/>
      </w:pPr>
      <w:r>
        <w:t>Pro účely této smlouvy, v příloze I Všeobecné podmínky, pojem „finanční dokument“</w:t>
      </w:r>
      <w:r>
        <w:t xml:space="preserve"> musí být chápán jako „část zprávy týkající se rozpočtu“, není-li stanoveno jinak. </w:t>
      </w:r>
    </w:p>
    <w:p w:rsidR="00591CA3" w:rsidRDefault="00002081">
      <w:pPr>
        <w:spacing w:after="207" w:line="268" w:lineRule="auto"/>
        <w:ind w:left="-5" w:hanging="10"/>
        <w:jc w:val="left"/>
      </w:pPr>
      <w:r>
        <w:t>V článku II.4.1, II.8.2, II.20.3, II.27.1, II.27.3, v prvním odstavci článku II.27.4, v prvním odstavci článku II.27.8 a v článku II.27.9 termín „Komise“ musí být chápán ja</w:t>
      </w:r>
      <w:r>
        <w:t xml:space="preserve">ko „NA a Komise“. </w:t>
      </w:r>
    </w:p>
    <w:p w:rsidR="00591CA3" w:rsidRDefault="00002081">
      <w:pPr>
        <w:spacing w:after="206"/>
        <w:ind w:left="-7"/>
      </w:pPr>
      <w:r>
        <w:t xml:space="preserve">V článku II.12 termín „finanční podpora“ musí být chápán jako „podpora“ a termín „třetí strany“ musí být chápán jako „účastníci“. </w:t>
      </w:r>
    </w:p>
    <w:p w:rsidR="00591CA3" w:rsidRDefault="00002081">
      <w:pPr>
        <w:numPr>
          <w:ilvl w:val="0"/>
          <w:numId w:val="8"/>
        </w:numPr>
        <w:spacing w:after="210"/>
        <w:ind w:hanging="240"/>
      </w:pPr>
      <w:r>
        <w:t>Pro účely této smlouvy se nepoužijí následující články přílohy I Všeobecných podmínek: Článek II.2. (d) (i</w:t>
      </w:r>
      <w:r>
        <w:t xml:space="preserve">i), článek II.12.2, článek II.17.3.1 (i), článek II.18.3, článek II.19.2, článek II.19.3, článek II.20.3, článek II.21, článek II.27.7. </w:t>
      </w:r>
    </w:p>
    <w:p w:rsidR="00591CA3" w:rsidRDefault="00002081">
      <w:pPr>
        <w:spacing w:after="199"/>
        <w:ind w:left="-7"/>
      </w:pPr>
      <w:r>
        <w:t>Pro účely této smlouvy se pojmy, zmíněné ve Všeobecných podmínkách, „přidružené subjekty“, „průběžná platba“, „jednoráz</w:t>
      </w:r>
      <w:r>
        <w:t xml:space="preserve">ová částka“, „paušální grant“ nepoužijí. </w:t>
      </w:r>
    </w:p>
    <w:p w:rsidR="00591CA3" w:rsidRDefault="00002081">
      <w:pPr>
        <w:numPr>
          <w:ilvl w:val="0"/>
          <w:numId w:val="8"/>
        </w:numPr>
        <w:spacing w:after="199"/>
        <w:ind w:hanging="240"/>
      </w:pPr>
      <w:r>
        <w:lastRenderedPageBreak/>
        <w:t xml:space="preserve">Článek II.7.1 musí být vykládán takto:  </w:t>
      </w:r>
    </w:p>
    <w:p w:rsidR="00591CA3" w:rsidRDefault="00002081">
      <w:pPr>
        <w:pStyle w:val="Nadpis2"/>
        <w:spacing w:after="181"/>
        <w:ind w:left="730" w:right="0"/>
      </w:pPr>
      <w:r>
        <w:t xml:space="preserve">„II.7.1 Zpracování osobních údajů ze strany NA a Komise </w:t>
      </w:r>
    </w:p>
    <w:p w:rsidR="00591CA3" w:rsidRDefault="00002081">
      <w:pPr>
        <w:spacing w:after="159"/>
        <w:ind w:left="728"/>
      </w:pPr>
      <w:r>
        <w:t xml:space="preserve">Veškeré osobní údaje uvedené ve smlouvě zpracovává NA v souladu s vnitrostátními právními ustanoveními. </w:t>
      </w:r>
    </w:p>
    <w:p w:rsidR="00591CA3" w:rsidRDefault="00002081">
      <w:pPr>
        <w:spacing w:after="172"/>
        <w:ind w:left="728"/>
      </w:pPr>
      <w:r>
        <w:t>Veškeré osobní údaje zanesené v IT nástrojích Evropské komise budou zpracovány v souladu s Nařízením (ES) č. 45/2001</w:t>
      </w:r>
      <w:r>
        <w:rPr>
          <w:vertAlign w:val="superscript"/>
        </w:rPr>
        <w:footnoteReference w:id="4"/>
      </w:r>
      <w:r>
        <w:t xml:space="preserve">.  </w:t>
      </w:r>
    </w:p>
    <w:p w:rsidR="00591CA3" w:rsidRDefault="00002081">
      <w:pPr>
        <w:spacing w:after="206"/>
        <w:ind w:left="728"/>
      </w:pPr>
      <w:r>
        <w:t>Tyto údaje zpracovává správce údajů uvedený v článku I.6.1 výlučně pro účely provádění smlouvy, její správy a sledování jejího plnění n</w:t>
      </w:r>
      <w:r>
        <w:t>ebo k ochraně finančních zájmů EU, včetně kontrol, auditů a vyšetřování v souladu s článkem II.27, aniž je dotčeno možné předávání těchto údajů subjektům pověřeným sledováním a kontrolou dodržování vnitrostátních právních předpisů, které se na smlouvu vzta</w:t>
      </w:r>
      <w:r>
        <w:t xml:space="preserve">hují. </w:t>
      </w:r>
    </w:p>
    <w:p w:rsidR="00591CA3" w:rsidRDefault="00002081">
      <w:pPr>
        <w:ind w:left="728"/>
      </w:pPr>
      <w:r>
        <w:t xml:space="preserve">Příjemce grantu má právo přístupu ke svým osobním údajům a právo na opravu jakýchkoli takových údajů. Za tímto účelem musí jakýkoli požadavek ohledně zpracování svých osobních údajů zaslat správci osobních údajů uvedenému v článku </w:t>
      </w:r>
    </w:p>
    <w:p w:rsidR="00591CA3" w:rsidRDefault="00002081">
      <w:pPr>
        <w:spacing w:after="863"/>
        <w:ind w:left="728"/>
      </w:pPr>
      <w:r>
        <w:t xml:space="preserve">I.6.1. </w:t>
      </w:r>
    </w:p>
    <w:p w:rsidR="00591CA3" w:rsidRDefault="00002081">
      <w:pPr>
        <w:spacing w:after="0" w:line="259" w:lineRule="auto"/>
        <w:ind w:left="0" w:firstLine="0"/>
        <w:jc w:val="left"/>
      </w:pPr>
      <w:r>
        <w:t xml:space="preserve"> </w:t>
      </w:r>
    </w:p>
    <w:p w:rsidR="00591CA3" w:rsidRDefault="00002081">
      <w:pPr>
        <w:spacing w:after="204"/>
        <w:ind w:left="728"/>
      </w:pPr>
      <w:r>
        <w:t xml:space="preserve">Komise veškeré osobní údaje uvedené ve smlouvě zpracovává v souladu s Nařízením (ES) č. 45/2001. </w:t>
      </w:r>
    </w:p>
    <w:p w:rsidR="00591CA3" w:rsidRDefault="00002081">
      <w:pPr>
        <w:spacing w:after="212"/>
        <w:ind w:left="728"/>
      </w:pPr>
      <w:r>
        <w:t xml:space="preserve">Příjemce grantu má právo kdykoli se obrátit na Evropského inspektora ochrany údajů. </w:t>
      </w:r>
    </w:p>
    <w:p w:rsidR="00591CA3" w:rsidRDefault="00002081">
      <w:pPr>
        <w:numPr>
          <w:ilvl w:val="0"/>
          <w:numId w:val="9"/>
        </w:numPr>
        <w:spacing w:line="444" w:lineRule="auto"/>
        <w:ind w:hanging="360"/>
      </w:pPr>
      <w:r>
        <w:t xml:space="preserve">V článku II.9.3 název a písmeno (a) v prvním odstavci musí být vykládány </w:t>
      </w:r>
      <w:r>
        <w:t xml:space="preserve">následovně: </w:t>
      </w:r>
      <w:r>
        <w:rPr>
          <w:b/>
        </w:rPr>
        <w:t xml:space="preserve">„II.9.3 Užívací práva NA a Unie k výsledkům a dříve založeným právům  </w:t>
      </w:r>
      <w:r>
        <w:t xml:space="preserve">Příjemce poskytuje NA a Unii tato užívací práva k výsledkům </w:t>
      </w:r>
      <w:r>
        <w:rPr>
          <w:i/>
        </w:rPr>
        <w:t>projektu</w:t>
      </w:r>
      <w:r>
        <w:t xml:space="preserve">: </w:t>
      </w:r>
    </w:p>
    <w:p w:rsidR="00591CA3" w:rsidRDefault="00002081">
      <w:pPr>
        <w:spacing w:after="210"/>
        <w:ind w:left="1111" w:hanging="391"/>
      </w:pPr>
      <w:r>
        <w:t>(a)</w:t>
      </w:r>
      <w:r>
        <w:rPr>
          <w:rFonts w:ascii="Arial" w:eastAsia="Arial" w:hAnsi="Arial" w:cs="Arial"/>
        </w:rPr>
        <w:t xml:space="preserve"> </w:t>
      </w:r>
      <w:r>
        <w:t>pro jejich vlastní účely, zejména právo tyto výsledky poskytnout osobám, jež pracují pro NA, Komisi</w:t>
      </w:r>
      <w:r>
        <w:t xml:space="preserve">, ostatní orgány, agentury a subjekty Unie, orgánům členských států, jakož i je kopírovat a reprodukovat v plném či částečném rozsahu a v neomezeném počtu kopií;“ </w:t>
      </w:r>
    </w:p>
    <w:p w:rsidR="00591CA3" w:rsidRDefault="00002081">
      <w:pPr>
        <w:spacing w:after="210"/>
        <w:ind w:left="-7"/>
      </w:pPr>
      <w:r>
        <w:t xml:space="preserve">Ve zbytku tohoto článku musí být termín „Unie“ chápán jako „NA a/nebo Unie“. </w:t>
      </w:r>
    </w:p>
    <w:p w:rsidR="00591CA3" w:rsidRDefault="00002081">
      <w:pPr>
        <w:numPr>
          <w:ilvl w:val="0"/>
          <w:numId w:val="9"/>
        </w:numPr>
        <w:spacing w:after="209"/>
        <w:ind w:hanging="360"/>
      </w:pPr>
      <w:r>
        <w:t>Druhý odstavec</w:t>
      </w:r>
      <w:r>
        <w:t xml:space="preserve"> článku II.10.1 musí být vykládán takto: </w:t>
      </w:r>
    </w:p>
    <w:p w:rsidR="00591CA3" w:rsidRDefault="00002081">
      <w:pPr>
        <w:spacing w:after="288"/>
        <w:ind w:left="728"/>
      </w:pPr>
      <w:r>
        <w:lastRenderedPageBreak/>
        <w:t xml:space="preserve">„Příjemce </w:t>
      </w:r>
      <w:r>
        <w:t xml:space="preserve">musí zajistit, že NA, Komise, Evropský účetní dvůr a Evropský úřad pro boj proti podvodům (OLAF) budou moci vykonávat svá práva podle článku II.27 rovněž vůči zhotovitelům, dodavatelům nebo poskytovatelům příjemce.“ </w:t>
      </w:r>
    </w:p>
    <w:p w:rsidR="00591CA3" w:rsidRDefault="00002081">
      <w:pPr>
        <w:numPr>
          <w:ilvl w:val="0"/>
          <w:numId w:val="9"/>
        </w:numPr>
        <w:spacing w:after="283"/>
        <w:ind w:hanging="360"/>
      </w:pPr>
      <w:r>
        <w:t xml:space="preserve">Článek II.18 musí být vykládán takto: </w:t>
      </w:r>
    </w:p>
    <w:p w:rsidR="00591CA3" w:rsidRDefault="00002081">
      <w:pPr>
        <w:spacing w:after="287"/>
        <w:ind w:left="728"/>
      </w:pPr>
      <w:r>
        <w:rPr>
          <w:b/>
        </w:rPr>
        <w:t>„II.18.1</w:t>
      </w:r>
      <w:r>
        <w:t xml:space="preserve"> Tato smlouva se řídí právním řádem České republiky. </w:t>
      </w:r>
    </w:p>
    <w:p w:rsidR="00591CA3" w:rsidRDefault="00002081">
      <w:pPr>
        <w:spacing w:after="244"/>
        <w:ind w:left="728"/>
      </w:pPr>
      <w:r>
        <w:rPr>
          <w:b/>
        </w:rPr>
        <w:t xml:space="preserve">II.18.2 </w:t>
      </w:r>
      <w:r>
        <w:t>Příslušný soud určený v souladu s příslušnými vnitrostátními právními předpisy je výlučně příslušný rozhodovat o jakýchkoli sporech mezi NA a kterýmkoli příjemcem ohledně výkladu, uplatň</w:t>
      </w:r>
      <w:r>
        <w:t xml:space="preserve">ování nebo platnosti této smlouvy, pokud takový spor nelze vyřešit dohodou obou stran. </w:t>
      </w:r>
    </w:p>
    <w:p w:rsidR="00591CA3" w:rsidRDefault="00002081">
      <w:pPr>
        <w:spacing w:after="291"/>
        <w:ind w:left="728"/>
      </w:pPr>
      <w:r>
        <w:t xml:space="preserve">Jakýkoliv právní akt přijatý NA lze v souladu s právním řádem České republiky napadnout žalobou u příslušného soudu České republiky.“ </w:t>
      </w:r>
    </w:p>
    <w:p w:rsidR="00591CA3" w:rsidRDefault="00002081">
      <w:pPr>
        <w:numPr>
          <w:ilvl w:val="0"/>
          <w:numId w:val="9"/>
        </w:numPr>
        <w:spacing w:after="207"/>
        <w:ind w:hanging="360"/>
      </w:pPr>
      <w:r>
        <w:t xml:space="preserve">Článek II.19.1 musí být vykládán </w:t>
      </w:r>
      <w:r>
        <w:t xml:space="preserve">takto: </w:t>
      </w:r>
    </w:p>
    <w:p w:rsidR="00591CA3" w:rsidRDefault="00002081">
      <w:pPr>
        <w:spacing w:after="210"/>
        <w:ind w:left="728"/>
      </w:pPr>
      <w:r>
        <w:t xml:space="preserve">„Podmínky pro způsobilost nákladů jsou definovány v části I.1 a II.1 přílohy III.“ </w:t>
      </w:r>
    </w:p>
    <w:p w:rsidR="00591CA3" w:rsidRDefault="00002081">
      <w:pPr>
        <w:numPr>
          <w:ilvl w:val="0"/>
          <w:numId w:val="9"/>
        </w:numPr>
        <w:spacing w:after="209"/>
        <w:ind w:hanging="360"/>
      </w:pPr>
      <w:r>
        <w:t xml:space="preserve">Článek II.20.1 musí být vykládán takto: </w:t>
      </w:r>
    </w:p>
    <w:p w:rsidR="00591CA3" w:rsidRDefault="00002081">
      <w:pPr>
        <w:spacing w:after="210"/>
        <w:ind w:left="728"/>
      </w:pPr>
      <w:r>
        <w:t xml:space="preserve">„Podmínky pro vykazování nákladů jsou definovány v části I.2 a II.2 přílohy III.“ </w:t>
      </w:r>
    </w:p>
    <w:p w:rsidR="00591CA3" w:rsidRDefault="00002081">
      <w:pPr>
        <w:numPr>
          <w:ilvl w:val="0"/>
          <w:numId w:val="9"/>
        </w:numPr>
        <w:spacing w:after="200"/>
        <w:ind w:hanging="360"/>
      </w:pPr>
      <w:r>
        <w:t xml:space="preserve">Článek II.20.2 musí být vykládán takto: </w:t>
      </w:r>
    </w:p>
    <w:p w:rsidR="00591CA3" w:rsidRDefault="00002081">
      <w:pPr>
        <w:spacing w:after="210"/>
        <w:ind w:left="728"/>
      </w:pPr>
      <w:r>
        <w:t xml:space="preserve">„Podmínky pro záznamy a další podkladovou dokumentaci k vykazovaným nákladům jsou definovány v části I.2 a II.2 přílohy III.“ </w:t>
      </w:r>
    </w:p>
    <w:p w:rsidR="00591CA3" w:rsidRDefault="00002081">
      <w:pPr>
        <w:numPr>
          <w:ilvl w:val="0"/>
          <w:numId w:val="9"/>
        </w:numPr>
        <w:ind w:hanging="360"/>
      </w:pPr>
      <w:r>
        <w:t xml:space="preserve">První odstavec článku II.22 musí být vykládán takto: </w:t>
      </w:r>
    </w:p>
    <w:p w:rsidR="00591CA3" w:rsidRDefault="00002081">
      <w:pPr>
        <w:spacing w:after="207"/>
        <w:ind w:left="728"/>
      </w:pPr>
      <w:r>
        <w:t>„Je-li projekt prováděn v souladu s popisem v příloze II, je příjemce oprá</w:t>
      </w:r>
      <w:r>
        <w:t xml:space="preserve">vněn upravovat přidělený rozpočet v příloze II tím způsobem, že prostředky v rozpočtu přesouvá mezi jednotlivými rozpočtovými kategoriemi. Tyto úpravy nevyžadují změnu smlouvy dle článku II.13, pokud budou dodrženy podmínky článku I.3.3.“ </w:t>
      </w:r>
    </w:p>
    <w:p w:rsidR="00591CA3" w:rsidRDefault="00002081">
      <w:pPr>
        <w:numPr>
          <w:ilvl w:val="0"/>
          <w:numId w:val="9"/>
        </w:numPr>
        <w:spacing w:after="208"/>
        <w:ind w:hanging="360"/>
      </w:pPr>
      <w:r>
        <w:t xml:space="preserve">Článek II.23(b) </w:t>
      </w:r>
      <w:r>
        <w:t xml:space="preserve">musí být vykládán takto: </w:t>
      </w:r>
    </w:p>
    <w:p w:rsidR="00591CA3" w:rsidRDefault="00002081">
      <w:pPr>
        <w:spacing w:after="205"/>
        <w:ind w:left="-7"/>
      </w:pPr>
      <w:r>
        <w:t xml:space="preserve"> „nepředloží takovou žádost ani ve lhůtě dalších 30 kalendářních dnů poté, co mu NA zašle písemnou upomínku.“ </w:t>
      </w:r>
    </w:p>
    <w:p w:rsidR="00591CA3" w:rsidRDefault="00002081">
      <w:pPr>
        <w:numPr>
          <w:ilvl w:val="0"/>
          <w:numId w:val="9"/>
        </w:numPr>
        <w:spacing w:after="210"/>
        <w:ind w:hanging="360"/>
      </w:pPr>
      <w:r>
        <w:t xml:space="preserve">První odstavec článku II.24.1.3 musí být vykládán takto: </w:t>
      </w:r>
    </w:p>
    <w:p w:rsidR="00591CA3" w:rsidRDefault="00002081">
      <w:pPr>
        <w:spacing w:after="206"/>
        <w:ind w:left="728"/>
      </w:pPr>
      <w:r>
        <w:t xml:space="preserve">„Během období pozastavení plateb příjemce </w:t>
      </w:r>
      <w:r>
        <w:t xml:space="preserve">není oprávněn podávat jakékoli žádosti o platby a podklady uvedené v článcích I.4.3 a I.4.4“. </w:t>
      </w:r>
    </w:p>
    <w:p w:rsidR="00591CA3" w:rsidRDefault="00002081">
      <w:pPr>
        <w:numPr>
          <w:ilvl w:val="0"/>
          <w:numId w:val="9"/>
        </w:numPr>
        <w:spacing w:after="214"/>
        <w:ind w:hanging="360"/>
      </w:pPr>
      <w:r>
        <w:t xml:space="preserve">Článek II.25.1 musí být vykládán takto: </w:t>
      </w:r>
    </w:p>
    <w:p w:rsidR="00591CA3" w:rsidRDefault="00002081">
      <w:pPr>
        <w:spacing w:after="95" w:line="362" w:lineRule="auto"/>
        <w:ind w:left="730" w:hanging="10"/>
      </w:pPr>
      <w:r>
        <w:rPr>
          <w:b/>
        </w:rPr>
        <w:lastRenderedPageBreak/>
        <w:t xml:space="preserve">„II.25.1 Krok 1 – Uplatnění sazby proplácených nákladů na způsobilé náklady a připočtení jednotkového příspěvku </w:t>
      </w:r>
      <w:r>
        <w:t>Tento kr</w:t>
      </w:r>
      <w:r>
        <w:t xml:space="preserve">ok je prováděn následovně: </w:t>
      </w:r>
    </w:p>
    <w:p w:rsidR="00591CA3" w:rsidRDefault="00002081">
      <w:pPr>
        <w:numPr>
          <w:ilvl w:val="1"/>
          <w:numId w:val="9"/>
        </w:numPr>
        <w:spacing w:after="206"/>
        <w:ind w:hanging="360"/>
      </w:pPr>
      <w:r>
        <w:t>Je-li grant v souladu s článkem I.3.2(a) udělen formou úhrady způsobilých nákladů, je sazba proplácených nákladů specifikovaná v článku II.2 přílohy III uplatněna na způsobilé náklady na projekt, které schválí NA pro dané katego</w:t>
      </w:r>
      <w:r>
        <w:t xml:space="preserve">rie nákladů a příjemce; </w:t>
      </w:r>
    </w:p>
    <w:p w:rsidR="00591CA3" w:rsidRDefault="00002081">
      <w:pPr>
        <w:numPr>
          <w:ilvl w:val="1"/>
          <w:numId w:val="9"/>
        </w:numPr>
        <w:spacing w:after="209"/>
        <w:ind w:hanging="360"/>
      </w:pPr>
      <w:r>
        <w:t xml:space="preserve">Je-li grant v souladu s článkem I.3.2(b) udělen formou jednotkového příspěvku, je jednotkový příspěvek specifikovaný v příloze IV vynásoben skutečným počtem jednotek, který schválí NA pro daného příjemce. </w:t>
      </w:r>
    </w:p>
    <w:p w:rsidR="00591CA3" w:rsidRDefault="00002081">
      <w:pPr>
        <w:spacing w:after="210"/>
        <w:ind w:left="728"/>
      </w:pPr>
      <w:r>
        <w:t>Stanoví-li článek I.3.2 k</w:t>
      </w:r>
      <w:r>
        <w:t xml:space="preserve">ombinaci různých forem grantů, výsledné částky se sčítají. </w:t>
      </w:r>
    </w:p>
    <w:p w:rsidR="00591CA3" w:rsidRDefault="00002081">
      <w:pPr>
        <w:numPr>
          <w:ilvl w:val="0"/>
          <w:numId w:val="9"/>
        </w:numPr>
        <w:spacing w:after="189"/>
        <w:ind w:hanging="360"/>
      </w:pPr>
      <w:r>
        <w:t xml:space="preserve">Druhý odstavec článku II.25.4 musí být vykládán takto: </w:t>
      </w:r>
    </w:p>
    <w:p w:rsidR="00591CA3" w:rsidRDefault="00002081">
      <w:pPr>
        <w:spacing w:after="207"/>
        <w:ind w:left="728"/>
      </w:pPr>
      <w:r>
        <w:t>„Rozsah snížení je úměrný rozsahu realizace projektu, v němž projekt nebyl proveden řádně, či rozsahu závažnosti porušení povinnosti v soula</w:t>
      </w:r>
      <w:r>
        <w:t xml:space="preserve">du s částí IV přílohy III.“ </w:t>
      </w:r>
    </w:p>
    <w:p w:rsidR="00591CA3" w:rsidRDefault="00002081">
      <w:pPr>
        <w:numPr>
          <w:ilvl w:val="0"/>
          <w:numId w:val="9"/>
        </w:numPr>
        <w:spacing w:after="205"/>
        <w:ind w:hanging="360"/>
      </w:pPr>
      <w:r>
        <w:t xml:space="preserve">Třetí odstavec článku II.26.3 musí být vykládán takto: </w:t>
      </w:r>
    </w:p>
    <w:p w:rsidR="00591CA3" w:rsidRDefault="00002081">
      <w:pPr>
        <w:spacing w:after="293"/>
        <w:ind w:left="728"/>
      </w:pPr>
      <w:r>
        <w:t xml:space="preserve">„Není-li do data uvedeného ve výzvě k úhradě platba provedena, bude NA vymáhat dlužnou částku: </w:t>
      </w:r>
    </w:p>
    <w:p w:rsidR="00591CA3" w:rsidRDefault="00002081">
      <w:pPr>
        <w:numPr>
          <w:ilvl w:val="1"/>
          <w:numId w:val="9"/>
        </w:numPr>
        <w:spacing w:after="244"/>
        <w:ind w:hanging="360"/>
      </w:pPr>
      <w:r>
        <w:t>započtením, bez předchozího souhlasu příjemce, proti veškerým dlužným částk</w:t>
      </w:r>
      <w:r>
        <w:t xml:space="preserve">ám, které NA dluží příjemci („započtení“); </w:t>
      </w:r>
    </w:p>
    <w:p w:rsidR="00591CA3" w:rsidRDefault="00002081">
      <w:pPr>
        <w:spacing w:after="203"/>
        <w:ind w:left="728"/>
      </w:pPr>
      <w:r>
        <w:t xml:space="preserve">Za výjimečných okolností je NA za účelem ochrany finančních zájmů Unie oprávněna provést započtení ještě před termínem splatnosti. </w:t>
      </w:r>
    </w:p>
    <w:p w:rsidR="00591CA3" w:rsidRDefault="00002081">
      <w:pPr>
        <w:spacing w:after="284"/>
        <w:ind w:left="728"/>
      </w:pPr>
      <w:r>
        <w:t>Proti započtení lze podat žalobu k příslušnému soudu v souladu s článkem II</w:t>
      </w:r>
      <w:r>
        <w:t xml:space="preserve">.18.2; </w:t>
      </w:r>
    </w:p>
    <w:p w:rsidR="00591CA3" w:rsidRDefault="00002081">
      <w:pPr>
        <w:numPr>
          <w:ilvl w:val="1"/>
          <w:numId w:val="9"/>
        </w:numPr>
        <w:ind w:hanging="360"/>
      </w:pPr>
      <w:r>
        <w:t xml:space="preserve">čerpáním finanční záruky v souladu s článkem I.4.2 („čerpání finanční záruky“); </w:t>
      </w:r>
    </w:p>
    <w:p w:rsidR="00591CA3" w:rsidRDefault="00002081">
      <w:pPr>
        <w:numPr>
          <w:ilvl w:val="1"/>
          <w:numId w:val="9"/>
        </w:numPr>
        <w:spacing w:after="293"/>
        <w:ind w:hanging="360"/>
      </w:pPr>
      <w:r>
        <w:t xml:space="preserve">učiněním právních kroků v souladu s článkem II.18.2, nebo se zvláštními podmínkami.“ </w:t>
      </w:r>
    </w:p>
    <w:p w:rsidR="00591CA3" w:rsidRDefault="00002081">
      <w:pPr>
        <w:numPr>
          <w:ilvl w:val="0"/>
          <w:numId w:val="9"/>
        </w:numPr>
        <w:spacing w:after="208"/>
        <w:ind w:hanging="360"/>
      </w:pPr>
      <w:r>
        <w:t xml:space="preserve">Třetí odstavec článku II.27.2 musí být vykládán takto: </w:t>
      </w:r>
    </w:p>
    <w:p w:rsidR="00591CA3" w:rsidRDefault="00002081">
      <w:pPr>
        <w:spacing w:after="209"/>
        <w:ind w:left="728"/>
      </w:pPr>
      <w:r>
        <w:t xml:space="preserve">„Období uvedená v prvním </w:t>
      </w:r>
      <w:r>
        <w:t>a druhém pododstavci se prodlužují v případě, že to vyžadují vnitrostátní právní předpisy nebo v souvislosti s grantem probíhají audity, jsou podány opravné prostředky, probíhají soudní spory či jsou vymáhány pohledávky, a to včetně případů podle článku II</w:t>
      </w:r>
      <w:r>
        <w:t xml:space="preserve">.27.7. V takových případech je příjemce povinen uchovávat dokumenty až do doby, kdy jsou tyto audity, uplatňování opravných prostředků, soudní spory či vymáhání pohledávek ukončeny.“ </w:t>
      </w:r>
    </w:p>
    <w:p w:rsidR="00591CA3" w:rsidRDefault="00002081">
      <w:pPr>
        <w:numPr>
          <w:ilvl w:val="0"/>
          <w:numId w:val="9"/>
        </w:numPr>
        <w:spacing w:after="208"/>
        <w:ind w:hanging="360"/>
      </w:pPr>
      <w:r>
        <w:t xml:space="preserve">Článek II.27.3 musí být vykládán takto: </w:t>
      </w:r>
    </w:p>
    <w:p w:rsidR="00591CA3" w:rsidRDefault="00002081">
      <w:pPr>
        <w:spacing w:after="210"/>
        <w:ind w:left="728"/>
      </w:pPr>
      <w:r>
        <w:lastRenderedPageBreak/>
        <w:t xml:space="preserve">„Příjemce je </w:t>
      </w:r>
      <w:r>
        <w:t xml:space="preserve">povinen poskytnout všechny údaje včetně údajů v elektronické podobě, jež si NA nebo Komise či externí subjekt zmocněný tak činit jménem NA vyžádají.  </w:t>
      </w:r>
    </w:p>
    <w:p w:rsidR="00591CA3" w:rsidRDefault="00002081">
      <w:pPr>
        <w:spacing w:after="209"/>
        <w:ind w:left="728"/>
      </w:pPr>
      <w:r>
        <w:t xml:space="preserve">Nesplní-li příjemce povinnosti podle prvního a druhého pododstavce, je NA oprávněna považovat: </w:t>
      </w:r>
    </w:p>
    <w:p w:rsidR="00591CA3" w:rsidRDefault="00002081">
      <w:pPr>
        <w:numPr>
          <w:ilvl w:val="1"/>
          <w:numId w:val="9"/>
        </w:numPr>
        <w:spacing w:after="206"/>
        <w:ind w:hanging="360"/>
      </w:pPr>
      <w:r>
        <w:t xml:space="preserve">náklady, </w:t>
      </w:r>
      <w:r>
        <w:t xml:space="preserve">jež nejsou příjemcem dostatečně odůvodněné, za nezpůsobilé; </w:t>
      </w:r>
    </w:p>
    <w:p w:rsidR="00591CA3" w:rsidRDefault="00002081">
      <w:pPr>
        <w:numPr>
          <w:ilvl w:val="1"/>
          <w:numId w:val="9"/>
        </w:numPr>
        <w:spacing w:after="168"/>
        <w:ind w:hanging="360"/>
      </w:pPr>
      <w:r>
        <w:t xml:space="preserve">jednotkové příspěvky, jednorázové částky a paušální grant, jež nejsou příjemcem dostatečně odůvodněné, za neoprávněné.“ </w:t>
      </w:r>
    </w:p>
    <w:p w:rsidR="00591CA3" w:rsidRDefault="00002081">
      <w:pPr>
        <w:ind w:left="-7"/>
      </w:pPr>
      <w:r>
        <w:t>Smlouva je vyhotovena ve dvou stejnopisech po jednom pro NA a pro příjemce</w:t>
      </w:r>
      <w:r>
        <w:t xml:space="preserve">. </w:t>
      </w:r>
    </w:p>
    <w:tbl>
      <w:tblPr>
        <w:tblStyle w:val="TableGrid"/>
        <w:tblW w:w="66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2007"/>
      </w:tblGrid>
      <w:tr w:rsidR="00591CA3">
        <w:trPr>
          <w:trHeight w:val="1020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591CA3" w:rsidRDefault="00002081">
            <w:pPr>
              <w:spacing w:after="172" w:line="259" w:lineRule="auto"/>
              <w:ind w:left="0" w:firstLine="0"/>
              <w:jc w:val="left"/>
            </w:pPr>
            <w:r>
              <w:t xml:space="preserve"> </w:t>
            </w:r>
          </w:p>
          <w:p w:rsidR="00591CA3" w:rsidRDefault="00002081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t xml:space="preserve">PODPISY </w:t>
            </w:r>
            <w:r>
              <w:tab/>
              <w:t xml:space="preserve"> </w:t>
            </w:r>
          </w:p>
          <w:p w:rsidR="00591CA3" w:rsidRDefault="0000208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591CA3" w:rsidRDefault="00591CA3">
            <w:pPr>
              <w:spacing w:after="160" w:line="259" w:lineRule="auto"/>
              <w:ind w:left="0" w:firstLine="0"/>
              <w:jc w:val="left"/>
            </w:pPr>
          </w:p>
        </w:tc>
      </w:tr>
      <w:tr w:rsidR="00591CA3">
        <w:trPr>
          <w:trHeight w:val="4964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591CA3" w:rsidRDefault="00002081">
            <w:pPr>
              <w:spacing w:after="28" w:line="259" w:lineRule="auto"/>
              <w:ind w:left="108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:rsidR="00591CA3" w:rsidRDefault="00002081">
            <w:pPr>
              <w:spacing w:after="0" w:line="259" w:lineRule="auto"/>
              <w:ind w:left="108" w:firstLine="0"/>
              <w:jc w:val="left"/>
            </w:pPr>
            <w:r>
              <w:t>Za příjemce grantu</w:t>
            </w:r>
            <w:r>
              <w:rPr>
                <w:i/>
              </w:rPr>
              <w:t xml:space="preserve"> </w:t>
            </w:r>
          </w:p>
          <w:p w:rsidR="00591CA3" w:rsidRDefault="00002081">
            <w:pPr>
              <w:spacing w:after="0" w:line="259" w:lineRule="auto"/>
              <w:ind w:left="828" w:firstLine="0"/>
              <w:jc w:val="left"/>
            </w:pPr>
            <w:r>
              <w:rPr>
                <w:i/>
              </w:rPr>
              <w:t xml:space="preserve"> </w:t>
            </w:r>
          </w:p>
          <w:p w:rsidR="00591CA3" w:rsidRDefault="00002081">
            <w:pPr>
              <w:spacing w:after="0" w:line="259" w:lineRule="auto"/>
              <w:ind w:left="828" w:firstLine="0"/>
              <w:jc w:val="left"/>
            </w:pPr>
            <w:r>
              <w:rPr>
                <w:i/>
              </w:rPr>
              <w:t xml:space="preserve"> </w:t>
            </w:r>
          </w:p>
          <w:p w:rsidR="00591CA3" w:rsidRDefault="00002081">
            <w:pPr>
              <w:spacing w:after="21" w:line="259" w:lineRule="auto"/>
              <w:ind w:left="108" w:firstLine="0"/>
              <w:jc w:val="left"/>
            </w:pPr>
            <w:r>
              <w:t xml:space="preserve">Mgr. Bc. Jaroslav Mareš </w:t>
            </w:r>
          </w:p>
          <w:p w:rsidR="00591CA3" w:rsidRDefault="00002081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Ředitel školy </w:t>
            </w:r>
          </w:p>
          <w:p w:rsidR="00591CA3" w:rsidRDefault="0000208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591CA3" w:rsidRDefault="0000208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591CA3" w:rsidRDefault="00002081">
            <w:pPr>
              <w:spacing w:after="0" w:line="259" w:lineRule="auto"/>
              <w:ind w:left="108" w:firstLine="0"/>
              <w:jc w:val="left"/>
            </w:pPr>
            <w:r>
              <w:t xml:space="preserve">Podpis </w:t>
            </w:r>
          </w:p>
          <w:p w:rsidR="00591CA3" w:rsidRDefault="0000208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591CA3" w:rsidRDefault="0000208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591CA3" w:rsidRDefault="0000208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591CA3" w:rsidRDefault="0000208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591CA3" w:rsidRDefault="00002081">
            <w:pPr>
              <w:spacing w:after="0" w:line="259" w:lineRule="auto"/>
              <w:ind w:left="108" w:firstLine="0"/>
              <w:jc w:val="left"/>
            </w:pPr>
            <w:r>
              <w:t xml:space="preserve">V                                   dne </w:t>
            </w:r>
          </w:p>
          <w:p w:rsidR="00591CA3" w:rsidRDefault="0000208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591CA3" w:rsidRDefault="0000208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591CA3" w:rsidRDefault="00002081">
            <w:pPr>
              <w:spacing w:after="20" w:line="259" w:lineRule="auto"/>
              <w:ind w:left="108" w:firstLine="0"/>
              <w:jc w:val="left"/>
            </w:pPr>
            <w:r>
              <w:t xml:space="preserve"> </w:t>
            </w:r>
          </w:p>
          <w:p w:rsidR="00591CA3" w:rsidRDefault="00002081">
            <w:pPr>
              <w:spacing w:after="0" w:line="259" w:lineRule="auto"/>
              <w:ind w:left="108" w:firstLine="0"/>
              <w:jc w:val="left"/>
            </w:pPr>
            <w:r>
              <w:t>Razítko:</w:t>
            </w:r>
            <w:r>
              <w:rPr>
                <w:i/>
              </w:rPr>
              <w:t xml:space="preserve">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591CA3" w:rsidRDefault="00002081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591CA3" w:rsidRDefault="00002081">
            <w:pPr>
              <w:spacing w:after="0" w:line="259" w:lineRule="auto"/>
              <w:ind w:left="0" w:firstLine="0"/>
            </w:pPr>
            <w:r>
              <w:t xml:space="preserve">Za národní agenturu </w:t>
            </w:r>
          </w:p>
          <w:p w:rsidR="00591CA3" w:rsidRDefault="0000208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91CA3" w:rsidRDefault="00002081">
            <w:pPr>
              <w:spacing w:after="22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  <w:p w:rsidR="00591CA3" w:rsidRDefault="00002081">
            <w:pPr>
              <w:spacing w:after="0" w:line="276" w:lineRule="auto"/>
              <w:ind w:left="0" w:firstLine="0"/>
              <w:jc w:val="left"/>
            </w:pPr>
            <w:r>
              <w:t xml:space="preserve">Ing. Iva Tatarková </w:t>
            </w:r>
            <w:r>
              <w:rPr>
                <w:i/>
              </w:rPr>
              <w:t xml:space="preserve">ředitelka </w:t>
            </w:r>
          </w:p>
          <w:p w:rsidR="00591CA3" w:rsidRDefault="0000208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91CA3" w:rsidRDefault="0000208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91CA3" w:rsidRDefault="00002081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  <w:p w:rsidR="00591CA3" w:rsidRDefault="0000208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91CA3" w:rsidRDefault="0000208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91CA3" w:rsidRDefault="0000208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91CA3" w:rsidRDefault="0000208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91CA3" w:rsidRDefault="00002081">
            <w:pPr>
              <w:spacing w:after="0" w:line="259" w:lineRule="auto"/>
              <w:ind w:left="0" w:firstLine="0"/>
              <w:jc w:val="left"/>
            </w:pPr>
            <w:r>
              <w:t xml:space="preserve">V Praze dne </w:t>
            </w:r>
          </w:p>
          <w:p w:rsidR="00591CA3" w:rsidRDefault="0000208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91CA3" w:rsidRDefault="0000208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91CA3" w:rsidRDefault="00002081">
            <w:pPr>
              <w:spacing w:after="20" w:line="259" w:lineRule="auto"/>
              <w:ind w:left="0" w:firstLine="0"/>
              <w:jc w:val="left"/>
            </w:pPr>
            <w:r>
              <w:t xml:space="preserve"> </w:t>
            </w:r>
          </w:p>
          <w:p w:rsidR="00591CA3" w:rsidRDefault="00002081">
            <w:pPr>
              <w:spacing w:after="0" w:line="259" w:lineRule="auto"/>
              <w:ind w:left="0" w:firstLine="0"/>
              <w:jc w:val="left"/>
            </w:pPr>
            <w:r>
              <w:t xml:space="preserve">Razítko: </w:t>
            </w:r>
          </w:p>
        </w:tc>
      </w:tr>
    </w:tbl>
    <w:p w:rsidR="00591CA3" w:rsidRDefault="00002081">
      <w:pPr>
        <w:spacing w:after="0" w:line="259" w:lineRule="auto"/>
        <w:ind w:left="0" w:firstLine="0"/>
        <w:jc w:val="left"/>
      </w:pPr>
      <w:r>
        <w:t xml:space="preserve"> </w:t>
      </w:r>
    </w:p>
    <w:sectPr w:rsidR="00591CA3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595" w:right="1434" w:bottom="2141" w:left="1440" w:header="711" w:footer="9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081" w:rsidRDefault="00002081">
      <w:pPr>
        <w:spacing w:after="0" w:line="240" w:lineRule="auto"/>
      </w:pPr>
      <w:r>
        <w:separator/>
      </w:r>
    </w:p>
  </w:endnote>
  <w:endnote w:type="continuationSeparator" w:id="0">
    <w:p w:rsidR="00002081" w:rsidRDefault="0000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A3" w:rsidRDefault="00002081">
    <w:pPr>
      <w:spacing w:after="175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91CA3" w:rsidRDefault="00002081">
    <w:pPr>
      <w:spacing w:after="177" w:line="259" w:lineRule="auto"/>
      <w:ind w:left="0" w:firstLine="0"/>
      <w:jc w:val="left"/>
    </w:pPr>
    <w:r>
      <w:t xml:space="preserve"> </w:t>
    </w:r>
  </w:p>
  <w:p w:rsidR="00591CA3" w:rsidRDefault="00002081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A3" w:rsidRDefault="00002081">
    <w:pPr>
      <w:spacing w:after="175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34F9">
      <w:rPr>
        <w:noProof/>
      </w:rPr>
      <w:t>10</w:t>
    </w:r>
    <w:r>
      <w:fldChar w:fldCharType="end"/>
    </w:r>
    <w:r>
      <w:t xml:space="preserve"> </w:t>
    </w:r>
  </w:p>
  <w:p w:rsidR="00591CA3" w:rsidRDefault="00002081">
    <w:pPr>
      <w:spacing w:after="177" w:line="259" w:lineRule="auto"/>
      <w:ind w:left="0" w:firstLine="0"/>
      <w:jc w:val="left"/>
    </w:pPr>
    <w:r>
      <w:t xml:space="preserve"> </w:t>
    </w:r>
  </w:p>
  <w:p w:rsidR="00591CA3" w:rsidRDefault="00002081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A3" w:rsidRDefault="00002081">
    <w:pPr>
      <w:spacing w:after="175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91CA3" w:rsidRDefault="00002081">
    <w:pPr>
      <w:spacing w:after="177" w:line="259" w:lineRule="auto"/>
      <w:ind w:left="0" w:firstLine="0"/>
      <w:jc w:val="left"/>
    </w:pPr>
    <w:r>
      <w:t xml:space="preserve"> </w:t>
    </w:r>
  </w:p>
  <w:p w:rsidR="00591CA3" w:rsidRDefault="00002081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081" w:rsidRDefault="00002081">
      <w:pPr>
        <w:spacing w:after="0" w:line="270" w:lineRule="auto"/>
        <w:ind w:left="0" w:firstLine="0"/>
        <w:jc w:val="left"/>
      </w:pPr>
      <w:r>
        <w:separator/>
      </w:r>
    </w:p>
  </w:footnote>
  <w:footnote w:type="continuationSeparator" w:id="0">
    <w:p w:rsidR="00002081" w:rsidRDefault="00002081">
      <w:pPr>
        <w:spacing w:after="0" w:line="270" w:lineRule="auto"/>
        <w:ind w:left="0" w:firstLine="0"/>
        <w:jc w:val="left"/>
      </w:pPr>
      <w:r>
        <w:continuationSeparator/>
      </w:r>
    </w:p>
  </w:footnote>
  <w:footnote w:id="1">
    <w:p w:rsidR="00591CA3" w:rsidRDefault="0000208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 xml:space="preserve">Nařízení Evropského parlamentu a Rady (EU) č. 1288/2013 ze dne 11. prosince 2013, kterým se zavádí program „Erasmus+“: program Unie pro vzdělávání, odbornou přípravu, mládež a sport a zrušují rozhodnutí č. 1719/2006/ES, č. 1720/2006/ES a č. 1298/2008/ES. </w:t>
      </w:r>
    </w:p>
  </w:footnote>
  <w:footnote w:id="2">
    <w:p w:rsidR="00591CA3" w:rsidRDefault="00002081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http://ec.europa.eu/budget/contracts_grants/info_contracts/inforeuro/inforeuro_en.cfm </w:t>
      </w:r>
    </w:p>
  </w:footnote>
  <w:footnote w:id="3">
    <w:p w:rsidR="00591CA3" w:rsidRDefault="00002081">
      <w:pPr>
        <w:pStyle w:val="footnotedescription"/>
        <w:spacing w:line="276" w:lineRule="auto"/>
        <w:ind w:right="2"/>
        <w:jc w:val="both"/>
      </w:pPr>
      <w:r>
        <w:rPr>
          <w:rStyle w:val="footnotemark"/>
        </w:rPr>
        <w:footnoteRef/>
      </w:r>
      <w:r>
        <w:t xml:space="preserve"> Otevřená licence je způsob, jakým vlastník díla uděluje povolení všem využívat zdroj. Licence se pojí s jednotlivými zdroji. Otevřená licence nepředstavuje převod au</w:t>
      </w:r>
      <w:r>
        <w:t xml:space="preserve">torského práva ani práv duševního vlastnictví (PDV).  </w:t>
      </w:r>
    </w:p>
  </w:footnote>
  <w:footnote w:id="4">
    <w:p w:rsidR="00591CA3" w:rsidRDefault="00002081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Nařízení (ES) č 45/2001 Evropského parlamentu a Rady z 18. prosince 2000 o ochraně fyzických osob v souvislosti se zpracováním osobních údajů orgány a institucemi Společenství a o volném pohybu těcht</w:t>
      </w:r>
      <w:r>
        <w:t>o údajů.</w:t>
      </w:r>
      <w:r>
        <w:rPr>
          <w:sz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A3" w:rsidRDefault="00002081">
    <w:pPr>
      <w:tabs>
        <w:tab w:val="center" w:pos="4513"/>
        <w:tab w:val="right" w:pos="9032"/>
      </w:tabs>
      <w:spacing w:after="243" w:line="259" w:lineRule="auto"/>
      <w:ind w:left="0" w:firstLine="0"/>
      <w:jc w:val="left"/>
    </w:pPr>
    <w:r>
      <w:rPr>
        <w:sz w:val="18"/>
      </w:rPr>
      <w:t xml:space="preserve">Číslo smlouvy: 2016-1-CZ01-KA102-023339 </w:t>
    </w:r>
    <w:r>
      <w:rPr>
        <w:sz w:val="18"/>
      </w:rPr>
      <w:tab/>
      <w:t xml:space="preserve"> </w:t>
    </w:r>
    <w:r>
      <w:rPr>
        <w:sz w:val="18"/>
      </w:rPr>
      <w:tab/>
      <w:t>Grantová smlouva (</w:t>
    </w:r>
    <w:r>
      <w:rPr>
        <w:b/>
        <w:sz w:val="18"/>
      </w:rPr>
      <w:t>jeden příjemce</w:t>
    </w:r>
    <w:r>
      <w:rPr>
        <w:sz w:val="18"/>
      </w:rPr>
      <w:t xml:space="preserve">)  </w:t>
    </w:r>
  </w:p>
  <w:p w:rsidR="00591CA3" w:rsidRDefault="00002081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A3" w:rsidRDefault="00002081">
    <w:pPr>
      <w:tabs>
        <w:tab w:val="center" w:pos="4513"/>
        <w:tab w:val="right" w:pos="9032"/>
      </w:tabs>
      <w:spacing w:after="243" w:line="259" w:lineRule="auto"/>
      <w:ind w:left="0" w:firstLine="0"/>
      <w:jc w:val="left"/>
    </w:pPr>
    <w:r>
      <w:rPr>
        <w:sz w:val="18"/>
      </w:rPr>
      <w:t xml:space="preserve">Číslo smlouvy: 2016-1-CZ01-KA102-023339 </w:t>
    </w:r>
    <w:r>
      <w:rPr>
        <w:sz w:val="18"/>
      </w:rPr>
      <w:tab/>
      <w:t xml:space="preserve"> </w:t>
    </w:r>
    <w:r>
      <w:rPr>
        <w:sz w:val="18"/>
      </w:rPr>
      <w:tab/>
      <w:t>Grantová smlouva (</w:t>
    </w:r>
    <w:r>
      <w:rPr>
        <w:b/>
        <w:sz w:val="18"/>
      </w:rPr>
      <w:t>jeden příjemce</w:t>
    </w:r>
    <w:r>
      <w:rPr>
        <w:sz w:val="18"/>
      </w:rPr>
      <w:t xml:space="preserve">)  </w:t>
    </w:r>
  </w:p>
  <w:p w:rsidR="00591CA3" w:rsidRDefault="00002081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A3" w:rsidRDefault="00002081">
    <w:pPr>
      <w:tabs>
        <w:tab w:val="center" w:pos="4513"/>
        <w:tab w:val="right" w:pos="9032"/>
      </w:tabs>
      <w:spacing w:after="243" w:line="259" w:lineRule="auto"/>
      <w:ind w:left="0" w:firstLine="0"/>
      <w:jc w:val="left"/>
    </w:pPr>
    <w:r>
      <w:rPr>
        <w:sz w:val="18"/>
      </w:rPr>
      <w:t xml:space="preserve">Číslo smlouvy: 2016-1-CZ01-KA102-023339 </w:t>
    </w:r>
    <w:r>
      <w:rPr>
        <w:sz w:val="18"/>
      </w:rPr>
      <w:tab/>
      <w:t xml:space="preserve"> </w:t>
    </w:r>
    <w:r>
      <w:rPr>
        <w:sz w:val="18"/>
      </w:rPr>
      <w:tab/>
      <w:t>Grantová smlouva (</w:t>
    </w:r>
    <w:r>
      <w:rPr>
        <w:b/>
        <w:sz w:val="18"/>
      </w:rPr>
      <w:t>jeden příjemce</w:t>
    </w:r>
    <w:r>
      <w:rPr>
        <w:sz w:val="18"/>
      </w:rPr>
      <w:t xml:space="preserve">)  </w:t>
    </w:r>
  </w:p>
  <w:p w:rsidR="00591CA3" w:rsidRDefault="00002081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0E19"/>
    <w:multiLevelType w:val="hybridMultilevel"/>
    <w:tmpl w:val="284A0658"/>
    <w:lvl w:ilvl="0" w:tplc="AB349CF6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052D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8A82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B2792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EAE2E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295F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6925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A513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2669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D34981"/>
    <w:multiLevelType w:val="hybridMultilevel"/>
    <w:tmpl w:val="3E2C7044"/>
    <w:lvl w:ilvl="0" w:tplc="80EECEAC">
      <w:start w:val="1"/>
      <w:numFmt w:val="low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457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0669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862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A60C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2DC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8D1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D01D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042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4117FF"/>
    <w:multiLevelType w:val="hybridMultilevel"/>
    <w:tmpl w:val="97F04548"/>
    <w:lvl w:ilvl="0" w:tplc="2BC0A80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E57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4A1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CF8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012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C08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4A73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8B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860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410A74"/>
    <w:multiLevelType w:val="hybridMultilevel"/>
    <w:tmpl w:val="8CE48FBC"/>
    <w:lvl w:ilvl="0" w:tplc="C6680FE8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E2A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2BA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4A7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665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2C9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E3D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E72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679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A578DA"/>
    <w:multiLevelType w:val="hybridMultilevel"/>
    <w:tmpl w:val="1F1E39D6"/>
    <w:lvl w:ilvl="0" w:tplc="3008FF44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4C752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049E2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7AC986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47FB8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42246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CA76E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268C2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D2140E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FE5D16"/>
    <w:multiLevelType w:val="hybridMultilevel"/>
    <w:tmpl w:val="9F18D584"/>
    <w:lvl w:ilvl="0" w:tplc="BA2A94EA">
      <w:start w:val="1"/>
      <w:numFmt w:val="low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4B7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6D4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BE3B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09A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842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46C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6AB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ACA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8F37F9"/>
    <w:multiLevelType w:val="hybridMultilevel"/>
    <w:tmpl w:val="F8E28A82"/>
    <w:lvl w:ilvl="0" w:tplc="222A2632">
      <w:start w:val="1"/>
      <w:numFmt w:val="low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449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EDD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A5E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279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202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446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283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C9F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75728E"/>
    <w:multiLevelType w:val="hybridMultilevel"/>
    <w:tmpl w:val="00B8D1AE"/>
    <w:lvl w:ilvl="0" w:tplc="AA5AB536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8FD78">
      <w:start w:val="1"/>
      <w:numFmt w:val="lowerLetter"/>
      <w:lvlText w:val="(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6B0F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6E74D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A4D2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4B0E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C382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A33D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413E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7C2DA4"/>
    <w:multiLevelType w:val="hybridMultilevel"/>
    <w:tmpl w:val="2CC25654"/>
    <w:lvl w:ilvl="0" w:tplc="55D07920">
      <w:start w:val="1"/>
      <w:numFmt w:val="lowerLetter"/>
      <w:lvlText w:val="(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43396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82301A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C07FA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E28CA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4877F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0AA1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BAEC68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E0425E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A3"/>
    <w:rsid w:val="00002081"/>
    <w:rsid w:val="00591CA3"/>
    <w:rsid w:val="0093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445F"/>
  <w15:docId w15:val="{F5763E38-DB09-41E7-BAEC-62A85114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spacing w:after="5" w:line="269" w:lineRule="auto"/>
      <w:ind w:left="8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3" w:line="249" w:lineRule="auto"/>
      <w:ind w:left="10" w:right="9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" w:line="249" w:lineRule="auto"/>
      <w:ind w:left="10" w:right="9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7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Obsah1">
    <w:name w:val="toc 1"/>
    <w:hidden/>
    <w:pPr>
      <w:spacing w:after="101" w:line="269" w:lineRule="auto"/>
      <w:ind w:left="23" w:right="23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ec.europa.eu/programmes/erasmus-plus" TargetMode="External"/><Relationship Id="rId18" Type="http://schemas.openxmlformats.org/officeDocument/2006/relationships/hyperlink" Target="http://www.naerasmusplus.cz/" TargetMode="External"/><Relationship Id="rId26" Type="http://schemas.openxmlformats.org/officeDocument/2006/relationships/hyperlink" Target="http://ec.europa.eu/programmes/erasmus-plus/projects/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www.naerasmusplus.cz/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jpg"/><Relationship Id="rId12" Type="http://schemas.openxmlformats.org/officeDocument/2006/relationships/image" Target="media/image10.jpg"/><Relationship Id="rId17" Type="http://schemas.openxmlformats.org/officeDocument/2006/relationships/hyperlink" Target="http://www.naerasmusplus.cz/" TargetMode="External"/><Relationship Id="rId25" Type="http://schemas.openxmlformats.org/officeDocument/2006/relationships/hyperlink" Target="http://ec.europa.eu/programmes/erasmus-plus/projects/" TargetMode="External"/><Relationship Id="rId33" Type="http://schemas.openxmlformats.org/officeDocument/2006/relationships/hyperlink" Target="http://eacea.ec.europa.eu/about-eacea/visual-identity_en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ec.europa.eu/programmes/erasmus-plus" TargetMode="External"/><Relationship Id="rId20" Type="http://schemas.openxmlformats.org/officeDocument/2006/relationships/hyperlink" Target="http://www.naerasmusplus.cz/" TargetMode="External"/><Relationship Id="rId29" Type="http://schemas.openxmlformats.org/officeDocument/2006/relationships/hyperlink" Target="http://eacea.ec.europa.eu/about-eacea/visual-identity_en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0.jpg"/><Relationship Id="rId24" Type="http://schemas.openxmlformats.org/officeDocument/2006/relationships/hyperlink" Target="http://ec.europa.eu/programmes/erasmus-plus/projects/" TargetMode="External"/><Relationship Id="rId32" Type="http://schemas.openxmlformats.org/officeDocument/2006/relationships/hyperlink" Target="http://eacea.ec.europa.eu/about-eacea/visual-identity_en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c.europa.eu/programmes/erasmus-plus" TargetMode="External"/><Relationship Id="rId23" Type="http://schemas.openxmlformats.org/officeDocument/2006/relationships/hyperlink" Target="http://ec.europa.eu/programmes/erasmus-plus/projects/" TargetMode="External"/><Relationship Id="rId28" Type="http://schemas.openxmlformats.org/officeDocument/2006/relationships/hyperlink" Target="http://eacea.ec.europa.eu/about-eacea/visual-identity_en" TargetMode="External"/><Relationship Id="rId36" Type="http://schemas.openxmlformats.org/officeDocument/2006/relationships/footer" Target="footer1.xml"/><Relationship Id="rId19" Type="http://schemas.openxmlformats.org/officeDocument/2006/relationships/hyperlink" Target="http://www.naerasmusplus.cz/" TargetMode="External"/><Relationship Id="rId31" Type="http://schemas.openxmlformats.org/officeDocument/2006/relationships/hyperlink" Target="http://eacea.ec.europa.eu/about-eacea/visual-identity_en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://ec.europa.eu/programmes/erasmus-plus" TargetMode="External"/><Relationship Id="rId22" Type="http://schemas.openxmlformats.org/officeDocument/2006/relationships/hyperlink" Target="http://www.naerasmusplus.cz/" TargetMode="External"/><Relationship Id="rId27" Type="http://schemas.openxmlformats.org/officeDocument/2006/relationships/hyperlink" Target="http://ec.europa.eu/programmes/erasmus-plus/projects/" TargetMode="External"/><Relationship Id="rId30" Type="http://schemas.openxmlformats.org/officeDocument/2006/relationships/hyperlink" Target="http://eacea.ec.europa.eu/about-eacea/visual-identity_en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3915</Words>
  <Characters>23102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GRANT AGREEMENT FOR AN ACTION WITH MULTIPLE BENEFICIARIES</vt:lpstr>
    </vt:vector>
  </TitlesOfParts>
  <Company/>
  <LinksUpToDate>false</LinksUpToDate>
  <CharactersWithSpaces>26964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AGREEMENT FOR AN ACTION WITH MULTIPLE BENEFICIARIES</dc:title>
  <dc:subject>grant agreement</dc:subject>
  <dc:creator>A3</dc:creator>
  <cp:keywords>grant, agreement, subventions, multi, beneficiaries</cp:keywords>
  <cp:lastModifiedBy>Pavlína Suchánková</cp:lastModifiedBy>
  <cp:revision>2</cp:revision>
  <dcterms:created xsi:type="dcterms:W3CDTF">2016-09-27T11:33:00Z</dcterms:created>
  <dcterms:modified xsi:type="dcterms:W3CDTF">2016-09-27T11:33:00Z</dcterms:modified>
</cp:coreProperties>
</file>