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41" w:h="245" w:wrap="none" w:hAnchor="page" w:x="886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2025005729</w:t>
      </w:r>
    </w:p>
    <w:p>
      <w:pPr>
        <w:widowControl w:val="0"/>
        <w:spacing w:after="244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411480</wp:posOffset>
            </wp:positionH>
            <wp:positionV relativeFrom="margin">
              <wp:posOffset>6699885</wp:posOffset>
            </wp:positionV>
            <wp:extent cx="1847215" cy="13652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47215" cy="1365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3383280</wp:posOffset>
            </wp:positionH>
            <wp:positionV relativeFrom="margin">
              <wp:posOffset>6940550</wp:posOffset>
            </wp:positionV>
            <wp:extent cx="2493010" cy="19265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93010" cy="1926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65" w:right="1277" w:bottom="450" w:left="1374" w:header="737" w:footer="2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5248910</wp:posOffset>
                </wp:positionH>
                <wp:positionV relativeFrom="paragraph">
                  <wp:posOffset>7750810</wp:posOffset>
                </wp:positionV>
                <wp:extent cx="509270" cy="2044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3.30000000000001pt;margin-top:610.30000000000007pt;width:40.100000000000001pt;height:1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5"/>
          <w:b/>
          <w:bCs/>
          <w:sz w:val="24"/>
          <w:szCs w:val="24"/>
          <w:u w:val="single"/>
        </w:rPr>
        <w:t>Dodatek č.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5"/>
        </w:rPr>
        <w:t>ke smlouvě o dílo podle ust. par. 2586 a násl. občanského zákoníku ze dne 28. 2. 2025 (dále jen „smlouva'</w:t>
      </w:r>
      <w:r>
        <w:rPr>
          <w:rStyle w:val="CharStyle5"/>
          <w:vertAlign w:val="superscript"/>
        </w:rPr>
        <w:t>4</w:t>
      </w:r>
      <w:r>
        <w:rPr>
          <w:rStyle w:val="CharStyle5"/>
        </w:rPr>
        <w:t>), uzavřené mezi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after="880" w:line="240" w:lineRule="auto"/>
        <w:ind w:left="0" w:right="0" w:firstLine="0"/>
        <w:jc w:val="both"/>
      </w:pPr>
      <w:r>
        <w:rPr>
          <w:rStyle w:val="CharStyle5"/>
          <w:b/>
          <w:bCs/>
          <w:sz w:val="24"/>
          <w:szCs w:val="24"/>
        </w:rPr>
        <w:t xml:space="preserve">Zdravotnickou záchrannou službou Jihomoravského kraje, příspěvkovou organizací, </w:t>
      </w:r>
      <w:r>
        <w:rPr>
          <w:rStyle w:val="CharStyle5"/>
        </w:rPr>
        <w:t>IČ 00346292, se sídlem v Brně, Kamenice Id, zastoupená svou ředitelkou paní MUDr. Hanou Albrechtovou jako objednatelem (dále jen „objednatel</w:t>
      </w:r>
      <w:r>
        <w:rPr>
          <w:rStyle w:val="CharStyle5"/>
          <w:vertAlign w:val="superscript"/>
        </w:rPr>
        <w:t>44</w:t>
      </w:r>
      <w:r>
        <w:rPr>
          <w:rStyle w:val="CharStyle5"/>
        </w:rPr>
        <w:t>),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after="1200" w:line="240" w:lineRule="auto"/>
        <w:ind w:left="0" w:right="0" w:firstLine="0"/>
        <w:jc w:val="both"/>
      </w:pPr>
      <w:r>
        <w:rPr>
          <w:rStyle w:val="CharStyle5"/>
          <w:b/>
          <w:bCs/>
          <w:sz w:val="24"/>
          <w:szCs w:val="24"/>
        </w:rPr>
        <w:t xml:space="preserve">GROUWE s.r.o., </w:t>
      </w:r>
      <w:r>
        <w:rPr>
          <w:rStyle w:val="CharStyle5"/>
        </w:rPr>
        <w:t>IČ 03150143, se sídlem v praže, Dobrušská 1797/1, zastoupenou svým jednatelem panem Jiřím G e m e r 1 e m jako zhotovitelem (dále jen „zhotovitel“).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5"/>
        </w:rPr>
        <w:t>Ustanovení článku 3.2.1. smlouvy se mění a nadále zní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rStyle w:val="CharStyle5"/>
        </w:rPr>
        <w:t xml:space="preserve">Plnění dle článku II odst. 2.1, bod 1. této smlouvy bude dokončeno a předáno nejpozději do 120 kalendářních dnů od zahájení realizace. Dnem zahájení realizace se přitom rozumí den uveřejnění příslušných standardů pro elektronizaci zdravotnické dokumentace - záznamu o výjezdu na </w:t>
      </w:r>
      <w:r>
        <w:fldChar w:fldCharType="begin"/>
      </w:r>
      <w:r>
        <w:rPr/>
        <w:instrText> HYPERLINK "http://www.ncez.mzcr.cz" </w:instrText>
      </w:r>
      <w:r>
        <w:fldChar w:fldCharType="separate"/>
      </w:r>
      <w:r>
        <w:rPr>
          <w:rStyle w:val="CharStyle5"/>
          <w:color w:val="2C70B6"/>
          <w:u w:val="single"/>
          <w:lang w:val="en-US" w:eastAsia="en-US" w:bidi="en-US"/>
        </w:rPr>
        <w:t>www.ncez.mzcr.cz</w:t>
      </w:r>
      <w:r>
        <w:fldChar w:fldCharType="end"/>
      </w:r>
      <w:r>
        <w:rPr>
          <w:rStyle w:val="CharStyle5"/>
          <w:color w:val="2C70B6"/>
          <w:lang w:val="en-US" w:eastAsia="en-US" w:bidi="en-US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rStyle w:val="CharStyle5"/>
        </w:rPr>
        <w:t>Ostatní ujednání smlouvy nejsou tímto dodatkem nijak dotčena.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5"/>
        </w:rPr>
        <w:t>III.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both"/>
      </w:pPr>
      <w:r>
        <w:rPr>
          <w:rStyle w:val="CharStyle5"/>
        </w:rPr>
        <w:t>Dáno v Brně 27. 6. 2025 ve dvou originálních písemných vyhotoveních, z nichž každá ze stran obdrží po jednom.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0" w:line="240" w:lineRule="auto"/>
        <w:ind w:left="1400" w:right="0" w:firstLine="0"/>
        <w:jc w:val="both"/>
      </w:pPr>
      <w:r>
        <w:rPr>
          <w:rStyle w:val="CharStyle5"/>
        </w:rPr>
        <w:t>objednatel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5"/>
          <w:i/>
          <w:iCs/>
          <w:sz w:val="24"/>
          <w:szCs w:val="24"/>
        </w:rPr>
        <w:t>07-25 Zpracování projektové dokumentace a odborná podpora</w:t>
      </w:r>
      <w:r>
        <w:rPr>
          <w:rStyle w:val="CharStyle5"/>
          <w:sz w:val="24"/>
          <w:szCs w:val="24"/>
        </w:rPr>
        <w:t xml:space="preserve"> v </w:t>
      </w:r>
      <w:r>
        <w:rPr>
          <w:rStyle w:val="CharStyle5"/>
          <w:i/>
          <w:iCs/>
          <w:sz w:val="24"/>
          <w:szCs w:val="24"/>
        </w:rPr>
        <w:t>rámci veřejných zakázek - Elektronizace zdravotnické a nezdravotnické dokumentace a zajištění interoperability ZZS Jihomoravského kraje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65" w:right="1359" w:bottom="450" w:left="13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