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104/2025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268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“PD Otovice - zateplení budovy skladu a truhlárny”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44"/>
      <w:bookmarkEnd w:id="45"/>
      <w:bookmarkEnd w:id="4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7"/>
      <w:bookmarkEnd w:id="48"/>
      <w:bookmarkEnd w:id="4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0"/>
      <w:bookmarkEnd w:id="51"/>
      <w:bookmarkEnd w:id="52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ZISTAV s.r.o.</w:t>
      </w:r>
      <w:bookmarkEnd w:id="53"/>
      <w:bookmarkEnd w:id="54"/>
      <w:bookmarkEnd w:id="55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U hřiště 301/14, Stará Role, 360 17 Karlovy Vary</w:t>
      </w:r>
      <w:bookmarkEnd w:id="56"/>
      <w:bookmarkEnd w:id="57"/>
      <w:bookmarkEnd w:id="5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9"/>
      <w:bookmarkEnd w:id="60"/>
      <w:bookmarkEnd w:id="6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2"/>
      <w:bookmarkEnd w:id="63"/>
      <w:bookmarkEnd w:id="6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5"/>
      <w:bookmarkEnd w:id="66"/>
      <w:bookmarkEnd w:id="67"/>
      <w:bookmarkEnd w:id="6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9"/>
      <w:bookmarkEnd w:id="70"/>
      <w:bookmarkEnd w:id="7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2"/>
      <w:bookmarkEnd w:id="73"/>
      <w:bookmarkEnd w:id="74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26316803</w:t>
      </w:r>
      <w:bookmarkEnd w:id="75"/>
      <w:bookmarkEnd w:id="76"/>
      <w:bookmarkEnd w:id="77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CZ26316803</w:t>
      </w:r>
      <w:bookmarkEnd w:id="78"/>
      <w:bookmarkEnd w:id="79"/>
      <w:bookmarkEnd w:id="8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1"/>
      <w:bookmarkEnd w:id="82"/>
      <w:bookmarkEnd w:id="8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4"/>
      <w:bookmarkEnd w:id="85"/>
      <w:bookmarkEnd w:id="8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KS v Plzni, oddíl C, vložka 12980</w:t>
      </w:r>
      <w:bookmarkEnd w:id="87"/>
      <w:bookmarkEnd w:id="88"/>
      <w:bookmarkEnd w:id="89"/>
    </w:p>
    <w:p>
      <w:pPr>
        <w:pStyle w:val="Style4"/>
        <w:keepNext/>
        <w:keepLines/>
        <w:widowControl w:val="0"/>
        <w:shd w:val="clear" w:color="auto" w:fill="auto"/>
        <w:tabs>
          <w:tab w:pos="2811" w:val="left"/>
        </w:tabs>
        <w:bidi w:val="0"/>
        <w:spacing w:before="0" w:after="18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90"/>
      <w:bookmarkEnd w:id="91"/>
      <w:bookmarkEnd w:id="9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3"/>
      <w:bookmarkEnd w:id="94"/>
      <w:bookmarkEnd w:id="9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prodloužení termínu dokončení díla z důvodu zvýšení časové náročnosti a objemu stavebních prací nad rámec smlouvy o dílo. Změna byla řádně projednána a odsouhlasena oprávněnými zástupci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odst. 1. písm. c) předání a převzetí dokončeného díla:</w:t>
      </w:r>
    </w:p>
    <w:p>
      <w:pPr>
        <w:pStyle w:val="Style4"/>
        <w:keepNext/>
        <w:keepLines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both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Do 150 kalendářních dnů od předání staveniště.</w:t>
      </w:r>
      <w:bookmarkEnd w:id="96"/>
      <w:bookmarkEnd w:id="97"/>
      <w:bookmarkEnd w:id="98"/>
    </w:p>
    <w:p>
      <w:pPr>
        <w:pStyle w:val="Style4"/>
        <w:keepNext/>
        <w:keepLines/>
        <w:widowControl w:val="0"/>
        <w:shd w:val="clear" w:color="auto" w:fill="auto"/>
        <w:tabs>
          <w:tab w:pos="2117" w:val="left"/>
        </w:tabs>
        <w:bidi w:val="0"/>
        <w:spacing w:before="0" w:after="620" w:line="240" w:lineRule="auto"/>
        <w:ind w:left="0" w:right="0" w:firstLine="0"/>
        <w:jc w:val="both"/>
      </w:pPr>
      <w:bookmarkStart w:id="100" w:name="bookmark100"/>
      <w:bookmarkStart w:id="101" w:name="bookmark101"/>
      <w:bookmarkStart w:id="99" w:name="bookmark9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04.11.2025</w:t>
      </w:r>
      <w:bookmarkEnd w:id="100"/>
      <w:bookmarkEnd w:id="101"/>
      <w:bookmarkEnd w:id="9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102"/>
      <w:bookmarkEnd w:id="103"/>
      <w:bookmarkEnd w:id="10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05"/>
      <w:bookmarkEnd w:id="106"/>
      <w:bookmarkEnd w:id="10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8"/>
      <w:bookmarkEnd w:id="109"/>
      <w:bookmarkEnd w:id="110"/>
    </w:p>
    <w:p>
      <w:pPr>
        <w:pStyle w:val="Style2"/>
        <w:keepNext w:val="0"/>
        <w:keepLines w:val="0"/>
        <w:widowControl w:val="0"/>
        <w:shd w:val="clear" w:color="auto" w:fill="auto"/>
        <w:tabs>
          <w:tab w:pos="4882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  <w:tab/>
        <w:t>Karlových Varech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82" w:val="left"/>
        </w:tabs>
        <w:bidi w:val="0"/>
        <w:spacing w:before="0" w:after="2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</w:t>
        <w:tab/>
        <w:t>oprávněný zástupce zhotovitele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75030" cy="3898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ZISTAV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40000000000003pt;margin-top:1.pt;width:68.900000000000006pt;height:30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ZISTAV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11" w:name="bookmark111"/>
      <w:bookmarkStart w:id="112" w:name="bookmark112"/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111"/>
      <w:bookmarkEnd w:id="112"/>
      <w:bookmarkEnd w:id="1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14" w:name="bookmark114"/>
      <w:bookmarkStart w:id="115" w:name="bookmark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14"/>
      <w:bookmarkEnd w:id="115"/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881" w:left="1394" w:right="1389" w:bottom="1479" w:header="145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9893935</wp:posOffset>
              </wp:positionV>
              <wp:extent cx="822960" cy="2012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9.94999999999999pt;margin-top:779.05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9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