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C3BB90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091C5B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F5CC1DB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091C5B">
        <w:rPr>
          <w:rFonts w:ascii="Helvetica" w:hAnsi="Helvetica"/>
          <w:color w:val="000000"/>
          <w:sz w:val="20"/>
          <w:szCs w:val="20"/>
          <w:shd w:val="clear" w:color="auto" w:fill="FFFFFF"/>
        </w:rPr>
        <w:t>Transit</w:t>
      </w:r>
      <w:r w:rsidR="00451837">
        <w:rPr>
          <w:rFonts w:cstheme="minorHAnsi"/>
          <w:sz w:val="22"/>
        </w:rPr>
        <w:t xml:space="preserve">: </w:t>
      </w:r>
      <w:r w:rsidR="00091C5B">
        <w:rPr>
          <w:rFonts w:cstheme="minorHAnsi"/>
          <w:sz w:val="22"/>
        </w:rPr>
        <w:t>9C64796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091C5B">
        <w:rPr>
          <w:rFonts w:cstheme="minorHAnsi"/>
          <w:sz w:val="22"/>
        </w:rPr>
        <w:t>Oprava vozu po nehodě</w:t>
      </w:r>
      <w:r w:rsidR="00835FFC">
        <w:rPr>
          <w:rFonts w:cstheme="minorHAnsi"/>
          <w:sz w:val="22"/>
        </w:rPr>
        <w:t>.</w:t>
      </w:r>
    </w:p>
    <w:p w14:paraId="3FC90ADF" w14:textId="3127A07E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091C5B">
        <w:rPr>
          <w:rFonts w:cstheme="minorHAnsi"/>
          <w:b/>
          <w:sz w:val="22"/>
        </w:rPr>
        <w:t>9.076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D99160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835FFC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835FFC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DCE613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C06F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0174390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16DDA3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91C5B">
        <w:rPr>
          <w:rFonts w:cstheme="minorHAnsi"/>
          <w:sz w:val="22"/>
        </w:rPr>
        <w:t>10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D0348C">
        <w:rPr>
          <w:rFonts w:cstheme="minorHAnsi"/>
          <w:sz w:val="22"/>
        </w:rPr>
        <w:t>7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E4AE3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06F6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6999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107</cp:revision>
  <cp:lastPrinted>2025-05-13T12:14:00Z</cp:lastPrinted>
  <dcterms:created xsi:type="dcterms:W3CDTF">2022-07-07T05:33:00Z</dcterms:created>
  <dcterms:modified xsi:type="dcterms:W3CDTF">2025-07-23T10:36:00Z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