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47247249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>j.</w:t>
      </w:r>
      <w:r w:rsidR="00F6030F">
        <w:rPr>
          <w:rFonts w:cs="Arial"/>
          <w:spacing w:val="4"/>
        </w:rPr>
        <w:t>:</w:t>
      </w:r>
      <w:r w:rsidR="0013409D" w:rsidRPr="0039288F">
        <w:rPr>
          <w:rFonts w:cs="Arial"/>
          <w:spacing w:val="4"/>
        </w:rPr>
        <w:t xml:space="preserve"> </w:t>
      </w:r>
      <w:r w:rsidR="00A72C2E" w:rsidRPr="0039288F">
        <w:rPr>
          <w:rFonts w:cs="Arial"/>
          <w:spacing w:val="4"/>
        </w:rPr>
        <w:t>MSMT-</w:t>
      </w:r>
      <w:r w:rsidR="000864C6">
        <w:rPr>
          <w:rFonts w:cs="Arial"/>
          <w:spacing w:val="4"/>
        </w:rPr>
        <w:t>1</w:t>
      </w:r>
      <w:r w:rsidR="00F5222C">
        <w:rPr>
          <w:rFonts w:cs="Arial"/>
          <w:spacing w:val="4"/>
        </w:rPr>
        <w:t>6678</w:t>
      </w:r>
      <w:r w:rsidR="00F6030F">
        <w:rPr>
          <w:rFonts w:cs="Arial"/>
          <w:spacing w:val="4"/>
        </w:rPr>
        <w:t>/202</w:t>
      </w:r>
      <w:r w:rsidR="000864C6">
        <w:rPr>
          <w:rFonts w:cs="Arial"/>
          <w:spacing w:val="4"/>
        </w:rPr>
        <w:t>5</w:t>
      </w:r>
      <w:r w:rsidR="00F6030F">
        <w:rPr>
          <w:rFonts w:cs="Arial"/>
          <w:spacing w:val="4"/>
        </w:rPr>
        <w:t>-</w:t>
      </w:r>
      <w:r w:rsidR="005C12AC">
        <w:rPr>
          <w:rFonts w:cs="Arial"/>
          <w:spacing w:val="4"/>
        </w:rPr>
        <w:t>6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27362D94" w14:textId="77777777" w:rsidR="00291E84" w:rsidRPr="0039288F" w:rsidRDefault="00291E84" w:rsidP="00291E84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>
        <w:rPr>
          <w:rFonts w:cs="Arial"/>
        </w:rPr>
        <w:t xml:space="preserve">              </w:t>
      </w:r>
      <w:r w:rsidRPr="0039288F">
        <w:rPr>
          <w:rFonts w:cs="Arial"/>
        </w:rPr>
        <w:t>a jejím vystupování v právních vztazích, ve znění pozdějších předpisů</w:t>
      </w:r>
      <w:r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4CCD215B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Náz</w:t>
      </w:r>
      <w:r w:rsidR="00893E49" w:rsidRPr="0039288F">
        <w:rPr>
          <w:rFonts w:cs="Arial"/>
        </w:rPr>
        <w:t>ev:</w:t>
      </w:r>
      <w:r w:rsidR="00F6030F">
        <w:rPr>
          <w:rFonts w:cs="Arial"/>
        </w:rPr>
        <w:tab/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2460C25B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Sídlo:</w:t>
      </w:r>
      <w:r w:rsidR="00F6030F">
        <w:rPr>
          <w:rFonts w:cs="Arial"/>
        </w:rPr>
        <w:tab/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Praha 1</w:t>
      </w:r>
    </w:p>
    <w:p w14:paraId="3EE2C321" w14:textId="05518B7C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IČO:</w:t>
      </w:r>
      <w:r w:rsidR="00F6030F">
        <w:rPr>
          <w:rFonts w:cs="Arial"/>
        </w:rPr>
        <w:tab/>
      </w:r>
      <w:r w:rsidRPr="0039288F">
        <w:rPr>
          <w:rFonts w:cs="Arial"/>
        </w:rPr>
        <w:t>00022985</w:t>
      </w:r>
    </w:p>
    <w:p w14:paraId="6F5A4A56" w14:textId="2C33E030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>:</w:t>
      </w:r>
      <w:r w:rsidR="00F6030F">
        <w:rPr>
          <w:rFonts w:asciiTheme="minorHAnsi" w:hAnsiTheme="minorHAnsi" w:cs="Arial"/>
          <w:i w:val="0"/>
          <w:color w:val="auto"/>
        </w:rPr>
        <w:tab/>
      </w:r>
      <w:r w:rsidR="00192F96">
        <w:rPr>
          <w:rFonts w:asciiTheme="minorHAnsi" w:hAnsiTheme="minorHAnsi" w:cs="Arial"/>
          <w:i w:val="0"/>
          <w:color w:val="auto"/>
        </w:rPr>
        <w:t>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450A1BBB" w:rsidR="00B7113A" w:rsidRDefault="00ED5107" w:rsidP="000D01B8">
      <w:pPr>
        <w:spacing w:after="80" w:line="240" w:lineRule="auto"/>
        <w:ind w:left="2126" w:hanging="2126"/>
        <w:rPr>
          <w:rFonts w:eastAsia="Times New Roman"/>
        </w:rPr>
      </w:pPr>
      <w:r w:rsidRPr="00BE7F9E">
        <w:rPr>
          <w:rFonts w:ascii="Calibri" w:hAnsi="Calibri" w:cs="Calibri"/>
        </w:rPr>
        <w:t>Název:</w:t>
      </w:r>
      <w:r w:rsidR="00F6030F" w:rsidRPr="00F6030F">
        <w:rPr>
          <w:b/>
        </w:rPr>
        <w:t xml:space="preserve"> </w:t>
      </w:r>
      <w:r w:rsidR="00F6030F">
        <w:rPr>
          <w:b/>
        </w:rPr>
        <w:tab/>
      </w:r>
      <w:r w:rsidR="005C12AC" w:rsidRPr="005C12AC">
        <w:rPr>
          <w:b/>
        </w:rPr>
        <w:t>Dětský domov se školou, středisko výchovné péče a základní škola, Býchory</w:t>
      </w:r>
    </w:p>
    <w:p w14:paraId="50E63AA4" w14:textId="44515923" w:rsidR="00BB274C" w:rsidRPr="000D01B8" w:rsidRDefault="00ED5107" w:rsidP="000D01B8">
      <w:pPr>
        <w:tabs>
          <w:tab w:val="left" w:pos="2220"/>
        </w:tabs>
        <w:spacing w:after="80" w:line="240" w:lineRule="auto"/>
        <w:ind w:left="2126" w:hanging="2126"/>
        <w:rPr>
          <w:rFonts w:eastAsia="Times New Roman"/>
          <w:b/>
          <w:bCs/>
        </w:rPr>
      </w:pPr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5C12AC" w:rsidRPr="005C12AC">
        <w:t>č.p. 152, 280 02 Býchory</w:t>
      </w:r>
    </w:p>
    <w:p w14:paraId="464BF798" w14:textId="1848750D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>IČO: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5C12AC" w:rsidRPr="005C12AC">
        <w:t>48665771</w:t>
      </w:r>
    </w:p>
    <w:p w14:paraId="32A801A3" w14:textId="19C81755" w:rsidR="002B4531" w:rsidRDefault="00C82796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5C12AC" w:rsidRPr="005C12AC">
        <w:rPr>
          <w:rFonts w:ascii="Calibri" w:hAnsi="Calibri" w:cs="Calibri"/>
        </w:rPr>
        <w:t xml:space="preserve"> ředitel</w:t>
      </w:r>
      <w:r w:rsidR="000D01B8"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06A12FD5" w14:textId="6E519C2B" w:rsidR="00B31FBE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</w:t>
      </w:r>
      <w:r w:rsidR="002D0A2F" w:rsidRPr="00E4717F">
        <w:rPr>
          <w:rFonts w:cs="Arial"/>
        </w:rPr>
        <w:t>tu</w:t>
      </w:r>
      <w:r w:rsidR="006C37A5" w:rsidRPr="00E4717F">
        <w:rPr>
          <w:rFonts w:cs="Arial"/>
        </w:rPr>
        <w:t>:</w:t>
      </w:r>
      <w:r w:rsidR="00E4717F">
        <w:rPr>
          <w:rFonts w:cs="Arial"/>
        </w:rPr>
        <w:t xml:space="preserve"> </w:t>
      </w:r>
      <w:r w:rsidR="00117DE0">
        <w:rPr>
          <w:rFonts w:cs="Arial"/>
        </w:rPr>
        <w:t>notebooky</w:t>
      </w:r>
    </w:p>
    <w:p w14:paraId="7AD1C4FB" w14:textId="77777777" w:rsidR="00B31FBE" w:rsidRPr="0039288F" w:rsidRDefault="00B31FBE" w:rsidP="00DB694A">
      <w:pPr>
        <w:spacing w:after="120" w:line="240" w:lineRule="auto"/>
        <w:ind w:right="-142"/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DB694A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DB694A">
            <w:pPr>
              <w:spacing w:after="120" w:line="240" w:lineRule="auto"/>
              <w:ind w:right="2"/>
              <w:jc w:val="center"/>
              <w:rPr>
                <w:rFonts w:cs="Arial"/>
                <w:b/>
              </w:rPr>
            </w:pPr>
            <w:r w:rsidRPr="00F6030F">
              <w:rPr>
                <w:rFonts w:cs="Arial"/>
                <w:b/>
              </w:rPr>
              <w:t>Úhrnná</w:t>
            </w:r>
            <w:r>
              <w:rPr>
                <w:rFonts w:cs="Arial"/>
                <w:b/>
              </w:rPr>
              <w:t xml:space="preserve">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924EC6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478E5D26" w:rsidR="00924EC6" w:rsidRPr="0039288F" w:rsidRDefault="00B31FBE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 w:rsidRPr="00F6030F">
              <w:rPr>
                <w:rFonts w:cs="Arial"/>
              </w:rPr>
              <w:t>DDHM</w:t>
            </w:r>
            <w:r w:rsidRPr="00B31FBE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7C95EE9" w14:textId="2929E129" w:rsidR="00924EC6" w:rsidRPr="0039288F" w:rsidRDefault="00F5222C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558F2">
              <w:rPr>
                <w:rFonts w:cs="Arial"/>
              </w:rPr>
              <w:t>0</w:t>
            </w:r>
          </w:p>
        </w:tc>
        <w:tc>
          <w:tcPr>
            <w:tcW w:w="3402" w:type="dxa"/>
            <w:vAlign w:val="center"/>
          </w:tcPr>
          <w:p w14:paraId="734AC9BD" w14:textId="423529EB" w:rsidR="00924EC6" w:rsidRPr="0039288F" w:rsidRDefault="00E558F2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264 819,80</w:t>
            </w:r>
          </w:p>
        </w:tc>
      </w:tr>
    </w:tbl>
    <w:p w14:paraId="27DCF8E7" w14:textId="3282731B" w:rsidR="00F8452F" w:rsidRPr="0039288F" w:rsidRDefault="00F8452F" w:rsidP="00DB694A">
      <w:pPr>
        <w:spacing w:after="120" w:line="240" w:lineRule="auto"/>
        <w:ind w:right="-142"/>
        <w:rPr>
          <w:rFonts w:cs="Arial"/>
        </w:rPr>
      </w:pPr>
    </w:p>
    <w:p w14:paraId="1F61465E" w14:textId="407F46AB" w:rsidR="002B4531" w:rsidRPr="0039288F" w:rsidRDefault="00C37958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F2456">
        <w:rPr>
          <w:rFonts w:cs="Arial"/>
        </w:rPr>
        <w:t xml:space="preserve">a účetní hodnoty </w:t>
      </w:r>
      <w:r w:rsidR="00413B6F">
        <w:rPr>
          <w:rFonts w:cs="Arial"/>
        </w:rPr>
        <w:t xml:space="preserve">jednotlivých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</w:t>
      </w:r>
      <w:r w:rsidR="00413B6F">
        <w:rPr>
          <w:rFonts w:cs="Arial"/>
        </w:rPr>
        <w:t>sou</w:t>
      </w:r>
      <w:r>
        <w:rPr>
          <w:rFonts w:cs="Arial"/>
        </w:rPr>
        <w:t xml:space="preserve"> uveden</w:t>
      </w:r>
      <w:r w:rsidR="00413B6F">
        <w:rPr>
          <w:rFonts w:cs="Arial"/>
        </w:rPr>
        <w:t>y</w:t>
      </w:r>
      <w:r>
        <w:rPr>
          <w:rFonts w:cs="Arial"/>
        </w:rPr>
        <w:t xml:space="preserve">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</w:t>
      </w:r>
      <w:r w:rsidR="00413B6F">
        <w:rPr>
          <w:rFonts w:cs="Arial"/>
        </w:rPr>
        <w:t xml:space="preserve"> této smlouvy.</w:t>
      </w:r>
      <w:r>
        <w:rPr>
          <w:rFonts w:cs="Arial"/>
        </w:rPr>
        <w:t xml:space="preserve"> </w:t>
      </w:r>
    </w:p>
    <w:p w14:paraId="1E982636" w14:textId="08A45DF0" w:rsidR="002B4531" w:rsidRPr="0039288F" w:rsidRDefault="00924EC6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>nabyl předávající na základě Kupní sml</w:t>
      </w:r>
      <w:r w:rsidR="000864C6">
        <w:rPr>
          <w:rFonts w:cs="Arial"/>
        </w:rPr>
        <w:t>ouvy</w:t>
      </w:r>
      <w:r w:rsidR="00BF7E2C">
        <w:rPr>
          <w:rFonts w:cs="Arial"/>
        </w:rPr>
        <w:t xml:space="preserve"> z</w:t>
      </w:r>
      <w:r w:rsidR="000864C6">
        <w:rPr>
          <w:rFonts w:cs="Arial"/>
        </w:rPr>
        <w:t> </w:t>
      </w:r>
      <w:r w:rsidR="00BF7E2C">
        <w:rPr>
          <w:rFonts w:cs="Arial"/>
        </w:rPr>
        <w:t>roku</w:t>
      </w:r>
      <w:r w:rsidR="000864C6">
        <w:rPr>
          <w:rFonts w:cs="Arial"/>
        </w:rPr>
        <w:t xml:space="preserve"> </w:t>
      </w:r>
      <w:r w:rsidR="00F6030F" w:rsidRPr="00F6030F">
        <w:rPr>
          <w:rFonts w:cs="Arial"/>
        </w:rPr>
        <w:t>201</w:t>
      </w:r>
      <w:r w:rsidR="000864C6">
        <w:rPr>
          <w:rFonts w:cs="Arial"/>
        </w:rPr>
        <w:t>8</w:t>
      </w:r>
      <w:r w:rsidR="00BF7E2C" w:rsidRPr="00F6030F">
        <w:rPr>
          <w:rFonts w:cs="Arial"/>
        </w:rPr>
        <w:t>.</w:t>
      </w:r>
      <w:r w:rsidR="00BF7E2C">
        <w:rPr>
          <w:rFonts w:cs="Arial"/>
        </w:rPr>
        <w:t xml:space="preserve">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6520B">
        <w:rPr>
          <w:rFonts w:cs="Arial"/>
        </w:rPr>
        <w:t xml:space="preserve"> </w:t>
      </w:r>
      <w:r w:rsidR="00064F4E">
        <w:rPr>
          <w:rFonts w:cs="Arial"/>
        </w:rPr>
        <w:br/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01EF4F14" w:rsidR="002B4531" w:rsidRPr="0039288F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="0001274F"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 w:rsidR="00B31FBE"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="00117DE0">
        <w:rPr>
          <w:rFonts w:cs="Arial"/>
        </w:rPr>
        <w:t>02</w:t>
      </w:r>
      <w:r w:rsidR="00F6030F" w:rsidRPr="00F6030F">
        <w:rPr>
          <w:rFonts w:cs="Arial"/>
        </w:rPr>
        <w:t>.0</w:t>
      </w:r>
      <w:r w:rsidR="00117DE0">
        <w:rPr>
          <w:rFonts w:cs="Arial"/>
        </w:rPr>
        <w:t>7</w:t>
      </w:r>
      <w:r w:rsidR="00F6030F" w:rsidRPr="00F6030F">
        <w:rPr>
          <w:rFonts w:cs="Arial"/>
        </w:rPr>
        <w:t>.202</w:t>
      </w:r>
      <w:r w:rsidR="000864C6">
        <w:rPr>
          <w:rFonts w:cs="Arial"/>
        </w:rPr>
        <w:t>5</w:t>
      </w:r>
      <w:r w:rsidRPr="0039288F">
        <w:rPr>
          <w:rFonts w:cs="Arial"/>
        </w:rPr>
        <w:t>, viz příloha č. 1</w:t>
      </w:r>
      <w:r w:rsidR="00413B6F"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12056275" w14:textId="290619C9" w:rsidR="002B4531" w:rsidRDefault="002F2FB8" w:rsidP="00DB694A">
      <w:pPr>
        <w:pStyle w:val="Nadpis1"/>
        <w:numPr>
          <w:ilvl w:val="0"/>
          <w:numId w:val="0"/>
        </w:numPr>
        <w:spacing w:before="0" w:after="120" w:line="240" w:lineRule="auto"/>
        <w:ind w:right="-142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lastRenderedPageBreak/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 w:rsidR="006C37A5">
        <w:rPr>
          <w:rFonts w:asciiTheme="minorHAnsi" w:hAnsiTheme="minorHAnsi" w:cs="Arial"/>
          <w:b w:val="0"/>
          <w:sz w:val="22"/>
          <w:szCs w:val="22"/>
        </w:rPr>
        <w:t>nem pře</w:t>
      </w:r>
      <w:r w:rsidR="00291E84">
        <w:rPr>
          <w:rFonts w:asciiTheme="minorHAnsi" w:hAnsiTheme="minorHAnsi" w:cs="Arial"/>
          <w:b w:val="0"/>
          <w:sz w:val="22"/>
          <w:szCs w:val="22"/>
        </w:rPr>
        <w:t>dání</w:t>
      </w:r>
      <w:r w:rsidR="006C37A5">
        <w:rPr>
          <w:rFonts w:asciiTheme="minorHAnsi" w:hAnsiTheme="minorHAnsi" w:cs="Arial"/>
          <w:b w:val="0"/>
          <w:sz w:val="22"/>
          <w:szCs w:val="22"/>
        </w:rPr>
        <w:t xml:space="preserve">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5B771284" w14:textId="77777777" w:rsidR="00064F4E" w:rsidRDefault="00E618D2" w:rsidP="00DB694A">
      <w:pPr>
        <w:spacing w:after="120"/>
        <w:contextualSpacing/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444C12D7" w14:textId="77777777" w:rsidR="00DB694A" w:rsidRDefault="00DB694A" w:rsidP="00DB694A">
      <w:pPr>
        <w:spacing w:after="120"/>
        <w:contextualSpacing/>
        <w:jc w:val="both"/>
        <w:rPr>
          <w:lang w:val="x-none" w:eastAsia="x-none"/>
        </w:rPr>
      </w:pPr>
    </w:p>
    <w:p w14:paraId="26DF23BE" w14:textId="559D92BA" w:rsidR="001B5650" w:rsidRPr="00064F4E" w:rsidRDefault="002B4531" w:rsidP="00DB694A">
      <w:pPr>
        <w:spacing w:after="120"/>
        <w:jc w:val="center"/>
        <w:rPr>
          <w:lang w:val="x-none" w:eastAsia="x-none"/>
        </w:rPr>
      </w:pPr>
      <w:r w:rsidRPr="0039288F">
        <w:rPr>
          <w:rFonts w:cs="Arial"/>
          <w:b/>
          <w:u w:val="single"/>
        </w:rPr>
        <w:t>II. Předání majetku</w:t>
      </w:r>
    </w:p>
    <w:p w14:paraId="35901D69" w14:textId="6A17F3EE" w:rsidR="00E618D2" w:rsidRDefault="002F2FB8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 xml:space="preserve">přejímající toto fyzické předání písemně potvrdí v předávacím protokolu. </w:t>
      </w:r>
      <w:r w:rsidR="00676659"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61C433EE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</w:p>
    <w:p w14:paraId="3C896240" w14:textId="4D26DC09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7CEBBC6F" w14:textId="73C06899" w:rsidR="00291E84" w:rsidRDefault="00291E84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>
        <w:rPr>
          <w:rFonts w:cs="Arial"/>
        </w:rPr>
        <w:t>e v souladu s § 16 odst. 1 vyhlášky</w:t>
      </w:r>
      <w:r w:rsidRPr="0039288F">
        <w:rPr>
          <w:rFonts w:cs="Arial"/>
        </w:rPr>
        <w:t xml:space="preserve"> č. 62/2001 Sb. dohodli, že věci předávané dle </w:t>
      </w:r>
      <w:r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16BA8AA6" w14:textId="77777777" w:rsidR="00DB694A" w:rsidRPr="00844597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63711EAB" w14:textId="0627F577" w:rsidR="005A6EAF" w:rsidRPr="0039288F" w:rsidRDefault="0039288F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6C163291" w14:textId="671BF41A" w:rsidR="00737E4C" w:rsidRPr="0039288F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 xml:space="preserve">říloha č. 1 </w:t>
      </w:r>
      <w:r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117DE0">
        <w:rPr>
          <w:rFonts w:cs="Arial"/>
        </w:rPr>
        <w:t>02</w:t>
      </w:r>
      <w:r>
        <w:rPr>
          <w:rFonts w:cs="Arial"/>
        </w:rPr>
        <w:t>.0</w:t>
      </w:r>
      <w:r w:rsidR="00117DE0">
        <w:rPr>
          <w:rFonts w:cs="Arial"/>
        </w:rPr>
        <w:t>7</w:t>
      </w:r>
      <w:r>
        <w:rPr>
          <w:rFonts w:cs="Arial"/>
        </w:rPr>
        <w:t>.202</w:t>
      </w:r>
      <w:r w:rsidR="000864C6">
        <w:rPr>
          <w:rFonts w:cs="Arial"/>
        </w:rPr>
        <w:t>5</w:t>
      </w:r>
      <w:r>
        <w:rPr>
          <w:rFonts w:cs="Arial"/>
        </w:rPr>
        <w:t>, samostatná příloha</w:t>
      </w:r>
    </w:p>
    <w:p w14:paraId="2A9ED55F" w14:textId="77777777" w:rsidR="00737E4C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>říloha č. 2</w:t>
      </w:r>
      <w:r>
        <w:rPr>
          <w:rFonts w:cs="Arial"/>
        </w:rPr>
        <w:t xml:space="preserve"> Inventární karty majetku, samostatná příloha</w:t>
      </w:r>
    </w:p>
    <w:p w14:paraId="2A6C582F" w14:textId="77777777" w:rsidR="00737E4C" w:rsidRDefault="00737E4C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>Příloha č. 3 Soupis majetku, příloha je nedílnou součástí smlouvy</w:t>
      </w:r>
    </w:p>
    <w:p w14:paraId="13295DC0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18C176B2" w14:textId="0512230A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44172DB3" w14:textId="77777777" w:rsidR="00A6520B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="00E618D2" w:rsidRPr="00E618D2">
        <w:rPr>
          <w:rFonts w:cs="Arial"/>
        </w:rPr>
        <w:t xml:space="preserve"> okamžikem jeho podpisu poslední smluvní stranou.</w:t>
      </w:r>
    </w:p>
    <w:p w14:paraId="15B22FCB" w14:textId="4384F486" w:rsidR="00E618D2" w:rsidRPr="00E618D2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="00E618D2"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6B94275" w14:textId="71A1ED3A" w:rsidR="00E618D2" w:rsidRPr="0039288F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v elektronické podobě, přičemž obě smluvní strany obdrží elektronický originál.</w:t>
      </w:r>
    </w:p>
    <w:p w14:paraId="6411625B" w14:textId="77777777" w:rsidR="002B4531" w:rsidRPr="0039288F" w:rsidRDefault="002B4531" w:rsidP="00B96F37">
      <w:pPr>
        <w:tabs>
          <w:tab w:val="left" w:pos="5387"/>
        </w:tabs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2E980BEA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B31FBE">
        <w:rPr>
          <w:rFonts w:cs="Arial"/>
        </w:rPr>
        <w:t> </w:t>
      </w:r>
      <w:r w:rsidR="00B26350">
        <w:rPr>
          <w:rFonts w:cs="Arial"/>
        </w:rPr>
        <w:t>Býchorech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5D704CE9" w14:textId="07674206" w:rsidR="00127043" w:rsidRDefault="002B4531" w:rsidP="00D65C81">
      <w:pPr>
        <w:spacing w:after="0" w:line="240" w:lineRule="auto"/>
        <w:rPr>
          <w:rFonts w:cs="Arial"/>
        </w:rPr>
      </w:pPr>
      <w:r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p w14:paraId="14B9B620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36C9A538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1517C749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0EAADA9E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CB0968C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70C95980" w14:textId="77777777" w:rsidR="00B8422E" w:rsidRDefault="00B8422E" w:rsidP="00D65C81">
      <w:pPr>
        <w:spacing w:after="0" w:line="240" w:lineRule="auto"/>
        <w:rPr>
          <w:rFonts w:cs="Arial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</w:tblGrid>
      <w:tr w:rsidR="00B8422E" w:rsidRPr="008A734E" w14:paraId="5094F4CA" w14:textId="77777777" w:rsidTr="00D564F2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8FDE" w14:textId="30DA8C71" w:rsidR="00B8422E" w:rsidRPr="008A734E" w:rsidRDefault="00B8422E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  <w:tr w:rsidR="00B8422E" w:rsidRPr="008A734E" w14:paraId="2AB324E5" w14:textId="77777777" w:rsidTr="000864C6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DB951" w14:textId="3D2B7FA0" w:rsid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Příloha č. </w:t>
            </w:r>
            <w:r w:rsidR="00DB694A">
              <w:rPr>
                <w:rFonts w:ascii="Verdana" w:eastAsia="Times New Roman" w:hAnsi="Verdana" w:cs="Calibri"/>
                <w:color w:val="000000"/>
                <w:lang w:eastAsia="cs-CZ"/>
              </w:rPr>
              <w:t>3:</w:t>
            </w: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 Soupis majetku</w:t>
            </w:r>
          </w:p>
          <w:p w14:paraId="7C8E4BA4" w14:textId="77777777" w:rsidR="001A72E3" w:rsidRDefault="001A72E3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  <w:tbl>
            <w:tblPr>
              <w:tblW w:w="8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1000"/>
              <w:gridCol w:w="3220"/>
              <w:gridCol w:w="1420"/>
              <w:gridCol w:w="1600"/>
            </w:tblGrid>
            <w:tr w:rsidR="005C12AC" w:rsidRPr="005C12AC" w14:paraId="3272E2FA" w14:textId="77777777" w:rsidTr="00EE20E4">
              <w:trPr>
                <w:trHeight w:val="30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6676D" w14:textId="797F2D16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Druh majetku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AC466" w14:textId="1EF19C48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Inv</w:t>
                  </w:r>
                  <w:proofErr w:type="spellEnd"/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D4403" w14:textId="3605303A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770175" w14:textId="0017F226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Datum zařazení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7F9B3A" w14:textId="31B13D73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</w:rPr>
                    <w:t>Pořizovací cena</w:t>
                  </w:r>
                </w:p>
              </w:tc>
            </w:tr>
            <w:tr w:rsidR="005C12AC" w:rsidRPr="005C12AC" w14:paraId="4F4ACB49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4192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0" w:name="_Hlk203546351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C5D7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46687V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9190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D0D97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F3040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1D62468C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86AA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BE4BF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46692V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36E0B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8319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F2D86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4893524D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92CAB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384B8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46695V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77690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C457B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27159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074C19E6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92E43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09574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46699V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29088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F81F4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95199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6646301D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A52B1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30461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46705V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BB9E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8BE3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7481D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1C488482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AF7D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917EA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46709V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74D1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63AF5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0B8A7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2F4B51CB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03EA8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6BD3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46710V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71B7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6142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7EA7C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1FCD9EB9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D9BC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F1D7C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46718V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AC40A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6AA2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A88C3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60F46D88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ED8A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B4AE7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46721V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54287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6213E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60617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5C12AC" w:rsidRPr="005C12AC" w14:paraId="5A42BD06" w14:textId="77777777" w:rsidTr="005C12AC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D7B2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1809C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46732V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FBC50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80228" w14:textId="77777777" w:rsidR="005C12AC" w:rsidRPr="005C12AC" w:rsidRDefault="005C12AC" w:rsidP="005C12AC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7A21C" w14:textId="77777777" w:rsidR="005C12AC" w:rsidRPr="005C12AC" w:rsidRDefault="005C12AC" w:rsidP="005C12AC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5C12AC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bookmarkEnd w:id="0"/>
          </w:tbl>
          <w:p w14:paraId="7D7FCB9C" w14:textId="7C005FBE" w:rsidR="000864C6" w:rsidRP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</w:tbl>
    <w:p w14:paraId="552E281B" w14:textId="77777777" w:rsidR="00B8422E" w:rsidRDefault="00B8422E" w:rsidP="00D65C81">
      <w:pPr>
        <w:spacing w:after="0" w:line="240" w:lineRule="auto"/>
        <w:rPr>
          <w:rFonts w:cs="Arial"/>
        </w:rPr>
      </w:pPr>
    </w:p>
    <w:p w14:paraId="57429D41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4BEE81A" w14:textId="77777777" w:rsidR="00737E4C" w:rsidRPr="006F756D" w:rsidRDefault="00737E4C" w:rsidP="00D65C81">
      <w:pPr>
        <w:spacing w:after="0" w:line="240" w:lineRule="auto"/>
        <w:rPr>
          <w:rFonts w:cs="Arial"/>
        </w:rPr>
      </w:pPr>
    </w:p>
    <w:sectPr w:rsidR="00737E4C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2187" w14:textId="77777777" w:rsidR="00061C56" w:rsidRDefault="00061C56" w:rsidP="0020638C">
      <w:pPr>
        <w:spacing w:after="0" w:line="240" w:lineRule="auto"/>
      </w:pPr>
      <w:r>
        <w:separator/>
      </w:r>
    </w:p>
  </w:endnote>
  <w:endnote w:type="continuationSeparator" w:id="0">
    <w:p w14:paraId="1387242A" w14:textId="77777777" w:rsidR="00061C56" w:rsidRDefault="00061C56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8A90" w14:textId="77777777" w:rsidR="00061C56" w:rsidRDefault="00061C56" w:rsidP="0020638C">
      <w:pPr>
        <w:spacing w:after="0" w:line="240" w:lineRule="auto"/>
      </w:pPr>
      <w:r>
        <w:separator/>
      </w:r>
    </w:p>
  </w:footnote>
  <w:footnote w:type="continuationSeparator" w:id="0">
    <w:p w14:paraId="3207BBA7" w14:textId="77777777" w:rsidR="00061C56" w:rsidRDefault="00061C56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407D"/>
    <w:rsid w:val="00044770"/>
    <w:rsid w:val="00047D77"/>
    <w:rsid w:val="00051B15"/>
    <w:rsid w:val="00054C88"/>
    <w:rsid w:val="00056547"/>
    <w:rsid w:val="00061C56"/>
    <w:rsid w:val="00064F4E"/>
    <w:rsid w:val="00076A7F"/>
    <w:rsid w:val="00082283"/>
    <w:rsid w:val="000864C6"/>
    <w:rsid w:val="00090D61"/>
    <w:rsid w:val="00093F10"/>
    <w:rsid w:val="000952A6"/>
    <w:rsid w:val="00095659"/>
    <w:rsid w:val="000A2240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17DE0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A72E3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40A0"/>
    <w:rsid w:val="002456AE"/>
    <w:rsid w:val="00246DAA"/>
    <w:rsid w:val="00251CE3"/>
    <w:rsid w:val="0028463B"/>
    <w:rsid w:val="002877B0"/>
    <w:rsid w:val="00291E84"/>
    <w:rsid w:val="002B4531"/>
    <w:rsid w:val="002C04EA"/>
    <w:rsid w:val="002C260E"/>
    <w:rsid w:val="002D0A2F"/>
    <w:rsid w:val="002D1A17"/>
    <w:rsid w:val="002E75E6"/>
    <w:rsid w:val="002F187E"/>
    <w:rsid w:val="002F2FB8"/>
    <w:rsid w:val="00335C17"/>
    <w:rsid w:val="003365BD"/>
    <w:rsid w:val="00350C54"/>
    <w:rsid w:val="00351FAB"/>
    <w:rsid w:val="00352101"/>
    <w:rsid w:val="003573A6"/>
    <w:rsid w:val="003636AB"/>
    <w:rsid w:val="00371CF3"/>
    <w:rsid w:val="00376D94"/>
    <w:rsid w:val="003843BC"/>
    <w:rsid w:val="00385938"/>
    <w:rsid w:val="0039288F"/>
    <w:rsid w:val="00395E68"/>
    <w:rsid w:val="003D3149"/>
    <w:rsid w:val="003D3733"/>
    <w:rsid w:val="003F55B0"/>
    <w:rsid w:val="004119E1"/>
    <w:rsid w:val="00413B6F"/>
    <w:rsid w:val="004238C6"/>
    <w:rsid w:val="004269AF"/>
    <w:rsid w:val="00435C50"/>
    <w:rsid w:val="00456AA6"/>
    <w:rsid w:val="004B39B3"/>
    <w:rsid w:val="004C261E"/>
    <w:rsid w:val="004E7553"/>
    <w:rsid w:val="004F1EA9"/>
    <w:rsid w:val="005029CA"/>
    <w:rsid w:val="005032D9"/>
    <w:rsid w:val="005320AC"/>
    <w:rsid w:val="005522EF"/>
    <w:rsid w:val="00565388"/>
    <w:rsid w:val="005742BB"/>
    <w:rsid w:val="00590EFB"/>
    <w:rsid w:val="005A2D71"/>
    <w:rsid w:val="005A3F2E"/>
    <w:rsid w:val="005A40EB"/>
    <w:rsid w:val="005A440A"/>
    <w:rsid w:val="005A63A1"/>
    <w:rsid w:val="005A6EAF"/>
    <w:rsid w:val="005B1EA8"/>
    <w:rsid w:val="005B6950"/>
    <w:rsid w:val="005C12AC"/>
    <w:rsid w:val="005C37FA"/>
    <w:rsid w:val="005C6401"/>
    <w:rsid w:val="005D7A1F"/>
    <w:rsid w:val="005F18D4"/>
    <w:rsid w:val="00633605"/>
    <w:rsid w:val="00642CAF"/>
    <w:rsid w:val="00644206"/>
    <w:rsid w:val="006525FA"/>
    <w:rsid w:val="00652DE6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1781"/>
    <w:rsid w:val="00735634"/>
    <w:rsid w:val="007368D9"/>
    <w:rsid w:val="00737E4C"/>
    <w:rsid w:val="007516CC"/>
    <w:rsid w:val="00760AC3"/>
    <w:rsid w:val="00767311"/>
    <w:rsid w:val="00780780"/>
    <w:rsid w:val="00782BC1"/>
    <w:rsid w:val="0078595A"/>
    <w:rsid w:val="007908B4"/>
    <w:rsid w:val="007A6BE7"/>
    <w:rsid w:val="007C23B8"/>
    <w:rsid w:val="007C27FB"/>
    <w:rsid w:val="007D5600"/>
    <w:rsid w:val="007E3AAE"/>
    <w:rsid w:val="007E757D"/>
    <w:rsid w:val="007E7E5A"/>
    <w:rsid w:val="008004B2"/>
    <w:rsid w:val="00802B96"/>
    <w:rsid w:val="00807CE6"/>
    <w:rsid w:val="00811F9A"/>
    <w:rsid w:val="00816BB9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9734F"/>
    <w:rsid w:val="008A3085"/>
    <w:rsid w:val="008B0E7B"/>
    <w:rsid w:val="008B6615"/>
    <w:rsid w:val="008D1F86"/>
    <w:rsid w:val="008D77D2"/>
    <w:rsid w:val="008E012B"/>
    <w:rsid w:val="008E1874"/>
    <w:rsid w:val="008E57DA"/>
    <w:rsid w:val="009178D2"/>
    <w:rsid w:val="00924EC6"/>
    <w:rsid w:val="00926C3C"/>
    <w:rsid w:val="00944135"/>
    <w:rsid w:val="00953A44"/>
    <w:rsid w:val="009708DD"/>
    <w:rsid w:val="00984FF0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3161C"/>
    <w:rsid w:val="00A35967"/>
    <w:rsid w:val="00A373E5"/>
    <w:rsid w:val="00A51C49"/>
    <w:rsid w:val="00A6520B"/>
    <w:rsid w:val="00A7128E"/>
    <w:rsid w:val="00A72C2E"/>
    <w:rsid w:val="00A73A20"/>
    <w:rsid w:val="00A74003"/>
    <w:rsid w:val="00A9306D"/>
    <w:rsid w:val="00AA2995"/>
    <w:rsid w:val="00AA6286"/>
    <w:rsid w:val="00AB2C45"/>
    <w:rsid w:val="00AC4B9A"/>
    <w:rsid w:val="00AD05DA"/>
    <w:rsid w:val="00AD55F8"/>
    <w:rsid w:val="00AE1EBF"/>
    <w:rsid w:val="00AE5E9D"/>
    <w:rsid w:val="00AF39C2"/>
    <w:rsid w:val="00AF3DFB"/>
    <w:rsid w:val="00AF5D2E"/>
    <w:rsid w:val="00AF6455"/>
    <w:rsid w:val="00B13DB5"/>
    <w:rsid w:val="00B26350"/>
    <w:rsid w:val="00B31FBE"/>
    <w:rsid w:val="00B51477"/>
    <w:rsid w:val="00B539D0"/>
    <w:rsid w:val="00B7113A"/>
    <w:rsid w:val="00B71DB0"/>
    <w:rsid w:val="00B766AB"/>
    <w:rsid w:val="00B80A5F"/>
    <w:rsid w:val="00B83DE5"/>
    <w:rsid w:val="00B83FAE"/>
    <w:rsid w:val="00B84054"/>
    <w:rsid w:val="00B8422E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42AF0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073F"/>
    <w:rsid w:val="00DB110C"/>
    <w:rsid w:val="00DB694A"/>
    <w:rsid w:val="00DC54E2"/>
    <w:rsid w:val="00DD5D12"/>
    <w:rsid w:val="00DD6AFA"/>
    <w:rsid w:val="00DE12EA"/>
    <w:rsid w:val="00DE254E"/>
    <w:rsid w:val="00DE3928"/>
    <w:rsid w:val="00DF1997"/>
    <w:rsid w:val="00E012F5"/>
    <w:rsid w:val="00E05441"/>
    <w:rsid w:val="00E11397"/>
    <w:rsid w:val="00E156D1"/>
    <w:rsid w:val="00E24920"/>
    <w:rsid w:val="00E30491"/>
    <w:rsid w:val="00E3084A"/>
    <w:rsid w:val="00E4717F"/>
    <w:rsid w:val="00E512C8"/>
    <w:rsid w:val="00E5173B"/>
    <w:rsid w:val="00E52203"/>
    <w:rsid w:val="00E558F2"/>
    <w:rsid w:val="00E56C28"/>
    <w:rsid w:val="00E57B4A"/>
    <w:rsid w:val="00E60D0C"/>
    <w:rsid w:val="00E618D2"/>
    <w:rsid w:val="00E65E2C"/>
    <w:rsid w:val="00E67A31"/>
    <w:rsid w:val="00E74D7E"/>
    <w:rsid w:val="00E84D89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208C6"/>
    <w:rsid w:val="00F22225"/>
    <w:rsid w:val="00F31AFD"/>
    <w:rsid w:val="00F41BEB"/>
    <w:rsid w:val="00F468F6"/>
    <w:rsid w:val="00F5222C"/>
    <w:rsid w:val="00F55735"/>
    <w:rsid w:val="00F6030F"/>
    <w:rsid w:val="00F65899"/>
    <w:rsid w:val="00F67F79"/>
    <w:rsid w:val="00F72F4E"/>
    <w:rsid w:val="00F7567F"/>
    <w:rsid w:val="00F8452F"/>
    <w:rsid w:val="00F84D71"/>
    <w:rsid w:val="00F86FF9"/>
    <w:rsid w:val="00F8778D"/>
    <w:rsid w:val="00F957F6"/>
    <w:rsid w:val="00FA0A15"/>
    <w:rsid w:val="00FA5CAE"/>
    <w:rsid w:val="00FB648B"/>
    <w:rsid w:val="00FC11C7"/>
    <w:rsid w:val="00FC1F89"/>
    <w:rsid w:val="00FC21BB"/>
    <w:rsid w:val="00FC21C5"/>
    <w:rsid w:val="00FC4189"/>
    <w:rsid w:val="00FC707F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2025-07-23T08:08:00Z</dcterms:created>
  <dcterms:modified xsi:type="dcterms:W3CDTF">2025-07-23T08:08:00Z</dcterms:modified>
</cp:coreProperties>
</file>