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51834844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2C2233" w:rsidRPr="00883442">
        <w:rPr>
          <w:bCs/>
          <w:noProof/>
          <w:sz w:val="32"/>
          <w:szCs w:val="32"/>
        </w:rPr>
        <w:t>24001948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3BF2C679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r w:rsidR="004400C4" w:rsidRPr="00313878">
        <w:rPr>
          <w:rFonts w:cs="Segoe UI"/>
          <w:szCs w:val="20"/>
        </w:rPr>
        <w:t>Petrem V</w:t>
      </w:r>
      <w:r w:rsidR="004400C4">
        <w:rPr>
          <w:rFonts w:cs="Segoe UI"/>
          <w:szCs w:val="20"/>
        </w:rPr>
        <w:t> </w:t>
      </w:r>
      <w:r w:rsidR="004400C4" w:rsidRPr="00313878">
        <w:rPr>
          <w:rFonts w:cs="Segoe UI"/>
          <w:szCs w:val="20"/>
        </w:rPr>
        <w:t>a</w:t>
      </w:r>
      <w:r w:rsidR="004400C4">
        <w:rPr>
          <w:rFonts w:cs="Segoe UI"/>
          <w:szCs w:val="20"/>
        </w:rPr>
        <w:t xml:space="preserve"> </w:t>
      </w:r>
      <w:r w:rsidR="004400C4" w:rsidRPr="00313878">
        <w:rPr>
          <w:rFonts w:cs="Segoe UI"/>
          <w:szCs w:val="20"/>
        </w:rPr>
        <w:t>l</w:t>
      </w:r>
      <w:r w:rsidR="004400C4">
        <w:rPr>
          <w:rFonts w:cs="Segoe UI"/>
          <w:szCs w:val="20"/>
        </w:rPr>
        <w:t xml:space="preserve"> </w:t>
      </w:r>
      <w:r w:rsidR="004400C4" w:rsidRPr="00313878">
        <w:rPr>
          <w:rFonts w:cs="Segoe UI"/>
          <w:szCs w:val="20"/>
        </w:rPr>
        <w:t>d</w:t>
      </w:r>
      <w:r w:rsidR="004400C4">
        <w:rPr>
          <w:rFonts w:cs="Segoe UI"/>
          <w:szCs w:val="20"/>
        </w:rPr>
        <w:t xml:space="preserve"> </w:t>
      </w:r>
      <w:r w:rsidR="004400C4" w:rsidRPr="00313878">
        <w:rPr>
          <w:rFonts w:cs="Segoe UI"/>
          <w:szCs w:val="20"/>
        </w:rPr>
        <w:t>m</w:t>
      </w:r>
      <w:r w:rsidR="004400C4">
        <w:rPr>
          <w:rFonts w:cs="Segoe UI"/>
          <w:szCs w:val="20"/>
        </w:rPr>
        <w:t xml:space="preserve"> </w:t>
      </w:r>
      <w:r w:rsidR="004400C4" w:rsidRPr="00313878">
        <w:rPr>
          <w:rFonts w:cs="Segoe UI"/>
          <w:szCs w:val="20"/>
        </w:rPr>
        <w:t>a</w:t>
      </w:r>
      <w:r w:rsidR="004400C4">
        <w:rPr>
          <w:rFonts w:cs="Segoe UI"/>
          <w:szCs w:val="20"/>
        </w:rPr>
        <w:t xml:space="preserve"> </w:t>
      </w:r>
      <w:r w:rsidR="004400C4" w:rsidRPr="00313878">
        <w:rPr>
          <w:rFonts w:cs="Segoe UI"/>
          <w:szCs w:val="20"/>
        </w:rPr>
        <w:t>n</w:t>
      </w:r>
      <w:r w:rsidR="004400C4">
        <w:rPr>
          <w:rFonts w:cs="Segoe UI"/>
          <w:szCs w:val="20"/>
        </w:rPr>
        <w:t xml:space="preserve"> </w:t>
      </w:r>
      <w:r w:rsidR="004400C4" w:rsidRPr="00313878">
        <w:rPr>
          <w:rFonts w:cs="Segoe UI"/>
          <w:szCs w:val="20"/>
        </w:rPr>
        <w:t>e</w:t>
      </w:r>
      <w:r w:rsidR="004400C4">
        <w:rPr>
          <w:rFonts w:cs="Segoe UI"/>
          <w:szCs w:val="20"/>
        </w:rPr>
        <w:t xml:space="preserve"> </w:t>
      </w:r>
      <w:proofErr w:type="gramStart"/>
      <w:r w:rsidR="004400C4" w:rsidRPr="00313878">
        <w:rPr>
          <w:rFonts w:cs="Segoe UI"/>
          <w:szCs w:val="20"/>
        </w:rPr>
        <w:t>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16C27E3F" w14:textId="77777777" w:rsidR="00936493" w:rsidRPr="00936493" w:rsidRDefault="00936493" w:rsidP="00936493">
      <w:pPr>
        <w:pStyle w:val="Hlavika-tunsmluvnstrany-Fondaadatel"/>
        <w:rPr>
          <w:rFonts w:ascii="Segoe UI" w:hAnsi="Segoe UI"/>
          <w:sz w:val="20"/>
        </w:rPr>
      </w:pPr>
      <w:r w:rsidRPr="00936493">
        <w:rPr>
          <w:rFonts w:ascii="Segoe UI" w:hAnsi="Segoe UI"/>
          <w:sz w:val="20"/>
        </w:rPr>
        <w:t>obec Praskolesy</w:t>
      </w:r>
    </w:p>
    <w:p w14:paraId="3E71E7D1" w14:textId="4A981F43" w:rsidR="00936493" w:rsidRPr="00936493" w:rsidRDefault="00936493" w:rsidP="00936493">
      <w:pPr>
        <w:pStyle w:val="Hlavika"/>
        <w:rPr>
          <w:rFonts w:ascii="Segoe UI" w:hAnsi="Segoe UI"/>
          <w:sz w:val="20"/>
        </w:rPr>
      </w:pPr>
      <w:r w:rsidRPr="00936493">
        <w:rPr>
          <w:rFonts w:ascii="Segoe UI" w:hAnsi="Segoe UI"/>
          <w:sz w:val="20"/>
        </w:rPr>
        <w:t>kontaktní adresa:</w:t>
      </w:r>
      <w:r w:rsidRPr="00936493">
        <w:rPr>
          <w:rFonts w:ascii="Segoe UI" w:hAnsi="Segoe UI"/>
          <w:sz w:val="20"/>
        </w:rPr>
        <w:tab/>
      </w:r>
      <w:r w:rsidRPr="00936493"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 xml:space="preserve">    </w:t>
      </w:r>
      <w:r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 w:rsidRPr="00936493">
        <w:rPr>
          <w:rFonts w:ascii="Segoe UI" w:hAnsi="Segoe UI"/>
          <w:sz w:val="20"/>
        </w:rPr>
        <w:t>O</w:t>
      </w:r>
      <w:r>
        <w:rPr>
          <w:rFonts w:ascii="Segoe UI" w:hAnsi="Segoe UI"/>
          <w:sz w:val="20"/>
        </w:rPr>
        <w:t>Ú</w:t>
      </w:r>
      <w:r w:rsidRPr="00936493">
        <w:rPr>
          <w:rFonts w:ascii="Segoe UI" w:hAnsi="Segoe UI"/>
          <w:sz w:val="20"/>
        </w:rPr>
        <w:t xml:space="preserve"> Praskolesy, Praskolesy č. p. 130, 267 54 Praskolesy</w:t>
      </w:r>
    </w:p>
    <w:p w14:paraId="32D707DB" w14:textId="5BAF28F0" w:rsidR="00936493" w:rsidRPr="00936493" w:rsidRDefault="00936493" w:rsidP="00936493">
      <w:pPr>
        <w:pStyle w:val="Hlavika"/>
        <w:rPr>
          <w:rFonts w:ascii="Segoe UI" w:hAnsi="Segoe UI"/>
          <w:sz w:val="20"/>
        </w:rPr>
      </w:pPr>
      <w:r w:rsidRPr="00936493">
        <w:rPr>
          <w:rFonts w:ascii="Segoe UI" w:hAnsi="Segoe UI"/>
          <w:sz w:val="20"/>
        </w:rPr>
        <w:t>IČO:</w:t>
      </w:r>
      <w:r w:rsidRPr="00936493">
        <w:rPr>
          <w:rFonts w:ascii="Segoe UI" w:hAnsi="Segoe UI"/>
          <w:sz w:val="20"/>
        </w:rPr>
        <w:tab/>
      </w:r>
      <w:r w:rsidRPr="00936493">
        <w:rPr>
          <w:rFonts w:ascii="Segoe UI" w:hAnsi="Segoe UI"/>
          <w:sz w:val="20"/>
        </w:rPr>
        <w:tab/>
      </w:r>
      <w:r w:rsidRPr="00936493">
        <w:rPr>
          <w:rFonts w:ascii="Segoe UI" w:hAnsi="Segoe UI"/>
          <w:sz w:val="20"/>
        </w:rPr>
        <w:tab/>
      </w:r>
      <w:r w:rsidRPr="00936493"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 w:rsidRPr="00936493">
        <w:rPr>
          <w:rFonts w:ascii="Segoe UI" w:hAnsi="Segoe UI"/>
          <w:sz w:val="20"/>
        </w:rPr>
        <w:t>00233749</w:t>
      </w:r>
    </w:p>
    <w:p w14:paraId="7E55289B" w14:textId="63CF25D2" w:rsidR="00936493" w:rsidRPr="00936493" w:rsidRDefault="00936493" w:rsidP="00936493">
      <w:pPr>
        <w:pStyle w:val="Hlavika"/>
        <w:rPr>
          <w:rFonts w:ascii="Segoe UI" w:hAnsi="Segoe UI"/>
          <w:sz w:val="20"/>
        </w:rPr>
      </w:pPr>
      <w:r w:rsidRPr="00936493">
        <w:rPr>
          <w:rFonts w:ascii="Segoe UI" w:hAnsi="Segoe UI"/>
          <w:sz w:val="20"/>
        </w:rPr>
        <w:t>zastoupená:</w:t>
      </w:r>
      <w:r w:rsidRPr="00936493">
        <w:rPr>
          <w:rFonts w:ascii="Segoe UI" w:hAnsi="Segoe UI"/>
          <w:sz w:val="20"/>
        </w:rPr>
        <w:tab/>
      </w:r>
      <w:r w:rsidRPr="00936493">
        <w:rPr>
          <w:rFonts w:ascii="Segoe UI" w:hAnsi="Segoe UI"/>
          <w:sz w:val="20"/>
        </w:rPr>
        <w:tab/>
      </w:r>
      <w:r w:rsidRPr="00936493"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 w:rsidRPr="00936493">
        <w:rPr>
          <w:rFonts w:ascii="Segoe UI" w:hAnsi="Segoe UI"/>
          <w:sz w:val="20"/>
        </w:rPr>
        <w:t xml:space="preserve">Zdeňkou D r á b k o v o u, starostkou </w:t>
      </w:r>
      <w:r w:rsidRPr="00936493">
        <w:rPr>
          <w:rFonts w:ascii="Segoe UI" w:hAnsi="Segoe UI"/>
          <w:spacing w:val="40"/>
          <w:sz w:val="20"/>
        </w:rPr>
        <w:t xml:space="preserve"> </w:t>
      </w:r>
    </w:p>
    <w:p w14:paraId="25618614" w14:textId="34F5B321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936493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94-7616131/0710</w:t>
      </w:r>
      <w:r w:rsidR="00936493">
        <w:rPr>
          <w:rFonts w:cs="Segoe UI"/>
          <w:bCs/>
          <w:noProof/>
          <w:szCs w:val="20"/>
        </w:rPr>
        <w:t xml:space="preserve">, </w:t>
      </w:r>
      <w:r w:rsidR="00936493" w:rsidRPr="00C9326C">
        <w:t>Česká</w:t>
      </w:r>
      <w:r w:rsidR="00936493">
        <w:rPr>
          <w:rFonts w:cs="Segoe UI"/>
          <w:bCs/>
          <w:noProof/>
          <w:szCs w:val="20"/>
        </w:rPr>
        <w:t xml:space="preserve"> národní banka,</w:t>
      </w:r>
    </w:p>
    <w:p w14:paraId="65AF54B9" w14:textId="65A3D20E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936493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3623131/0100</w:t>
      </w:r>
      <w:r w:rsidR="00936493">
        <w:rPr>
          <w:rFonts w:cs="Segoe UI"/>
          <w:bCs/>
          <w:noProof/>
          <w:szCs w:val="20"/>
        </w:rPr>
        <w:t>, Komerční banka, a. s.</w:t>
      </w:r>
    </w:p>
    <w:p w14:paraId="0457F75E" w14:textId="1AB38DC1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936493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0B28B1C9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24001948</w:t>
      </w:r>
      <w:r w:rsidRPr="004F57C2">
        <w:rPr>
          <w:rFonts w:cs="Segoe UI"/>
          <w:szCs w:val="20"/>
        </w:rPr>
        <w:t xml:space="preserve"> ze dne </w:t>
      </w:r>
      <w:r w:rsidR="00936493">
        <w:rPr>
          <w:rFonts w:cs="Segoe UI"/>
          <w:szCs w:val="20"/>
        </w:rPr>
        <w:t xml:space="preserve">         </w:t>
      </w:r>
      <w:r w:rsidR="00192922">
        <w:rPr>
          <w:rFonts w:cs="Segoe UI"/>
          <w:bCs/>
          <w:noProof/>
          <w:szCs w:val="20"/>
        </w:rPr>
        <w:t>17.</w:t>
      </w:r>
      <w:r w:rsidR="0093649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10.</w:t>
      </w:r>
      <w:r w:rsidR="0093649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41B284A8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1240700139</w:t>
      </w:r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446890">
        <w:rPr>
          <w:rFonts w:cs="Segoe UI"/>
          <w:bCs/>
          <w:noProof/>
          <w:szCs w:val="20"/>
        </w:rPr>
        <w:t>Splašková kanalizace a ČOV 1400 EO Praskolesy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</w:t>
      </w:r>
      <w:r w:rsidR="000C2209" w:rsidRPr="00220E7D">
        <w:rPr>
          <w:rFonts w:cs="Segoe UI"/>
          <w:szCs w:val="20"/>
        </w:rPr>
        <w:lastRenderedPageBreak/>
        <w:t xml:space="preserve">ministra o poskytnutí finančních prostředků ze SFŽP č. </w:t>
      </w:r>
      <w:r w:rsidR="00936493">
        <w:t>1240700139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936493">
        <w:t>28. 6. </w:t>
      </w:r>
      <w:proofErr w:type="gramStart"/>
      <w:r w:rsidR="00936493">
        <w:t>2024</w:t>
      </w:r>
      <w:r w:rsidR="00936493" w:rsidRPr="00827960">
        <w:t xml:space="preserve"> </w:t>
      </w:r>
      <w:r w:rsidR="000C2209" w:rsidRPr="00220E7D">
        <w:rPr>
          <w:rFonts w:cs="Segoe UI"/>
          <w:szCs w:val="20"/>
        </w:rPr>
        <w:t xml:space="preserve"> (</w:t>
      </w:r>
      <w:proofErr w:type="gramEnd"/>
      <w:r w:rsidR="000C2209" w:rsidRPr="00220E7D">
        <w:rPr>
          <w:rFonts w:cs="Segoe UI"/>
          <w:szCs w:val="20"/>
        </w:rPr>
        <w:t>dále jen „Rozhodnutí o dotaci“)</w:t>
      </w:r>
      <w:r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4759BC">
      <w:pPr>
        <w:jc w:val="center"/>
      </w:pPr>
      <w:r>
        <w:rPr>
          <w:rFonts w:cs="Segoe UI"/>
          <w:bCs/>
          <w:noProof/>
          <w:szCs w:val="20"/>
        </w:rPr>
        <w:t>32 000 000</w:t>
      </w:r>
      <w:r w:rsidR="004759BC">
        <w:t xml:space="preserve"> Kč</w:t>
      </w:r>
    </w:p>
    <w:p w14:paraId="1A92F462" w14:textId="7D8A557E" w:rsidR="004759BC" w:rsidRDefault="004759BC" w:rsidP="004759BC">
      <w:pPr>
        <w:jc w:val="center"/>
      </w:pPr>
      <w:r>
        <w:t xml:space="preserve">(slovy: </w:t>
      </w:r>
      <w:r w:rsidR="00446890">
        <w:rPr>
          <w:rFonts w:cs="Segoe UI"/>
          <w:bCs/>
          <w:noProof/>
          <w:szCs w:val="20"/>
        </w:rPr>
        <w:t>třicet</w:t>
      </w:r>
      <w:r w:rsidR="004400C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dva</w:t>
      </w:r>
      <w:r w:rsidR="004400C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</w:t>
      </w:r>
      <w:r w:rsidR="00936493">
        <w:rPr>
          <w:rFonts w:cs="Segoe UI"/>
          <w:bCs/>
          <w:noProof/>
          <w:szCs w:val="20"/>
        </w:rPr>
        <w:t>ů</w:t>
      </w:r>
      <w:r w:rsidR="004400C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4400C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českých</w:t>
      </w:r>
      <w:r>
        <w:t>)</w:t>
      </w:r>
    </w:p>
    <w:p w14:paraId="12B60A01" w14:textId="72420FD5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</w:t>
      </w:r>
      <w:r w:rsidR="00936493">
        <w:t xml:space="preserve"> </w:t>
      </w:r>
      <w:r>
        <w:t>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1D46EC76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19,96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proofErr w:type="gramStart"/>
      <w:r w:rsidR="00E552AD">
        <w:rPr>
          <w:rFonts w:cs="Segoe UI"/>
          <w:szCs w:val="20"/>
        </w:rPr>
        <w:t xml:space="preserve">ověřeny </w:t>
      </w:r>
      <w:r w:rsidR="00247E71">
        <w:rPr>
          <w:rFonts w:cs="Segoe UI"/>
          <w:szCs w:val="20"/>
        </w:rPr>
        <w:t> před</w:t>
      </w:r>
      <w:proofErr w:type="gramEnd"/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936493">
        <w:t>1240700139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160 353 039,29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 xml:space="preserve">okud příjemce </w:t>
      </w:r>
      <w:r w:rsidRPr="008B7C93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0F6CF326" w14:textId="078E25CB" w:rsidR="00BD57C1" w:rsidRPr="00936493" w:rsidRDefault="000B1B87" w:rsidP="00094DFC">
      <w:pPr>
        <w:pStyle w:val="rove"/>
        <w:ind w:left="360" w:firstLine="0"/>
        <w:rPr>
          <w:rFonts w:cs="Segoe UI"/>
          <w:szCs w:val="20"/>
        </w:rPr>
      </w:pPr>
      <w:r w:rsidRPr="00936493">
        <w:rPr>
          <w:rFonts w:cs="Segoe UI"/>
          <w:szCs w:val="20"/>
        </w:rPr>
        <w:t xml:space="preserve">Příjemce podpory je povinen vrátit poskytnuté prostředky </w:t>
      </w:r>
      <w:r w:rsidR="00367825" w:rsidRPr="00936493">
        <w:rPr>
          <w:rFonts w:cs="Segoe UI"/>
          <w:szCs w:val="20"/>
        </w:rPr>
        <w:t>Fondu</w:t>
      </w:r>
      <w:r w:rsidRPr="00936493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936493">
        <w:rPr>
          <w:rFonts w:cs="Segoe UI"/>
          <w:szCs w:val="20"/>
        </w:rPr>
        <w:t xml:space="preserve"> podle zákona č. 218/2000 Sb.</w:t>
      </w:r>
      <w:r w:rsidR="008D4DF0" w:rsidRPr="00936493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69620BCC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(k účtu určenému pro splácení </w:t>
      </w:r>
      <w:proofErr w:type="gramStart"/>
      <w:r w:rsidRPr="00BA0CB1">
        <w:rPr>
          <w:rFonts w:cs="Segoe UI"/>
          <w:szCs w:val="20"/>
        </w:rPr>
        <w:t>půjčky - viz</w:t>
      </w:r>
      <w:proofErr w:type="gramEnd"/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</w:t>
      </w:r>
      <w:r w:rsidRPr="00261407">
        <w:rPr>
          <w:rFonts w:cs="Segoe UI"/>
          <w:szCs w:val="20"/>
        </w:rPr>
        <w:t>vystavené</w:t>
      </w:r>
      <w:r w:rsidR="00FE633B">
        <w:rPr>
          <w:rFonts w:cs="Segoe UI"/>
          <w:szCs w:val="20"/>
        </w:rPr>
        <w:t>ho</w:t>
      </w:r>
      <w:r w:rsidRPr="00261407">
        <w:rPr>
          <w:rFonts w:cs="Segoe UI"/>
          <w:szCs w:val="20"/>
        </w:rPr>
        <w:t xml:space="preserve"> bankou dne </w:t>
      </w:r>
      <w:r w:rsidR="00192922" w:rsidRPr="00261407">
        <w:rPr>
          <w:rFonts w:cs="Segoe UI"/>
          <w:bCs/>
          <w:noProof/>
          <w:szCs w:val="20"/>
        </w:rPr>
        <w:t>17.</w:t>
      </w:r>
      <w:r w:rsidR="00936493" w:rsidRPr="00261407">
        <w:rPr>
          <w:rFonts w:cs="Segoe UI"/>
          <w:bCs/>
          <w:noProof/>
          <w:szCs w:val="20"/>
        </w:rPr>
        <w:t xml:space="preserve"> </w:t>
      </w:r>
      <w:r w:rsidR="00192922" w:rsidRPr="00261407">
        <w:rPr>
          <w:rFonts w:cs="Segoe UI"/>
          <w:bCs/>
          <w:noProof/>
          <w:szCs w:val="20"/>
        </w:rPr>
        <w:t>6.</w:t>
      </w:r>
      <w:r w:rsidR="00936493" w:rsidRPr="00261407">
        <w:rPr>
          <w:rFonts w:cs="Segoe UI"/>
          <w:bCs/>
          <w:noProof/>
          <w:szCs w:val="20"/>
        </w:rPr>
        <w:t xml:space="preserve"> </w:t>
      </w:r>
      <w:r w:rsidR="00192922" w:rsidRPr="00261407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07DA6231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261407">
        <w:rPr>
          <w:rFonts w:cs="Segoe UI"/>
          <w:szCs w:val="20"/>
        </w:rPr>
        <w:t>příkazu</w:t>
      </w:r>
      <w:r w:rsidRPr="00BA0CB1">
        <w:rPr>
          <w:rFonts w:cs="Segoe UI"/>
          <w:szCs w:val="20"/>
        </w:rPr>
        <w:t xml:space="preserve"> k</w:t>
      </w:r>
      <w:r w:rsidR="00FE633B">
        <w:rPr>
          <w:rFonts w:cs="Segoe UI"/>
          <w:szCs w:val="20"/>
        </w:rPr>
        <w:t xml:space="preserve"> povolení</w:t>
      </w:r>
      <w:r w:rsidRPr="00BA0CB1">
        <w:rPr>
          <w:rFonts w:cs="Segoe UI"/>
          <w:szCs w:val="20"/>
        </w:rPr>
        <w:t xml:space="preserve">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27.</w:t>
      </w:r>
      <w:r w:rsidR="004400C4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5.</w:t>
      </w:r>
      <w:r w:rsidR="004400C4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228 000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0C9B35E4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4400C4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4400C4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2028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78 000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596506C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800 000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4400C4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4400C4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2028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6E6D8254" w14:textId="1FC7EA39" w:rsidR="00662CB6" w:rsidRDefault="00662CB6" w:rsidP="00096DF9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</w:pPr>
      <w:r w:rsidRPr="004400C4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  <w:r w:rsidR="00014554" w:rsidRPr="004400C4">
        <w:rPr>
          <w:rFonts w:cs="Segoe UI"/>
          <w:szCs w:val="20"/>
        </w:rPr>
        <w:t xml:space="preserve"> 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A0CB1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7B7560">
      <w:pPr>
        <w:spacing w:before="240"/>
        <w:jc w:val="center"/>
        <w:rPr>
          <w:b/>
          <w:highlight w:val="magenta"/>
        </w:rPr>
      </w:pPr>
    </w:p>
    <w:p w14:paraId="488F9C27" w14:textId="4324FCA1" w:rsidR="00AB6722" w:rsidRPr="00AB6722" w:rsidRDefault="00AB6722" w:rsidP="00BF0EDB">
      <w:pPr>
        <w:spacing w:before="240"/>
        <w:ind w:left="-709"/>
        <w:rPr>
          <w:b/>
          <w:color w:val="FF0000"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4D90ADBE" w14:textId="77777777" w:rsidR="004400C4" w:rsidRDefault="004400C4" w:rsidP="004400C4">
      <w:pPr>
        <w:jc w:val="both"/>
        <w:rPr>
          <w:rFonts w:cs="Segoe UI"/>
          <w:szCs w:val="20"/>
        </w:rPr>
      </w:pPr>
    </w:p>
    <w:p w14:paraId="4AD386E3" w14:textId="77777777" w:rsidR="004400C4" w:rsidRDefault="004400C4" w:rsidP="004400C4">
      <w:pPr>
        <w:jc w:val="both"/>
        <w:rPr>
          <w:rFonts w:cs="Segoe UI"/>
          <w:szCs w:val="20"/>
        </w:rPr>
      </w:pPr>
    </w:p>
    <w:p w14:paraId="54577B08" w14:textId="77777777" w:rsidR="004400C4" w:rsidRDefault="004400C4" w:rsidP="004400C4">
      <w:pPr>
        <w:jc w:val="both"/>
        <w:rPr>
          <w:rFonts w:cs="Segoe UI"/>
          <w:szCs w:val="20"/>
        </w:rPr>
      </w:pPr>
    </w:p>
    <w:p w14:paraId="1B841DCA" w14:textId="77777777" w:rsidR="004400C4" w:rsidRDefault="004400C4" w:rsidP="004400C4">
      <w:pPr>
        <w:jc w:val="both"/>
        <w:rPr>
          <w:rFonts w:cs="Segoe UI"/>
          <w:szCs w:val="20"/>
        </w:rPr>
      </w:pPr>
    </w:p>
    <w:p w14:paraId="24BD2411" w14:textId="77777777" w:rsidR="004400C4" w:rsidRDefault="004400C4" w:rsidP="004400C4">
      <w:pPr>
        <w:jc w:val="both"/>
        <w:rPr>
          <w:rFonts w:cs="Segoe UI"/>
          <w:szCs w:val="20"/>
        </w:rPr>
      </w:pPr>
    </w:p>
    <w:p w14:paraId="0CE24B0A" w14:textId="77777777" w:rsidR="004400C4" w:rsidRPr="004400C4" w:rsidRDefault="004400C4" w:rsidP="004400C4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2F8C85B3" w14:textId="77777777" w:rsidR="004400C4" w:rsidRDefault="004400C4" w:rsidP="004400C4">
      <w:pPr>
        <w:spacing w:before="240"/>
        <w:rPr>
          <w:rFonts w:cs="Segoe UI"/>
          <w:szCs w:val="20"/>
        </w:rPr>
      </w:pPr>
    </w:p>
    <w:p w14:paraId="262A12EC" w14:textId="77777777" w:rsidR="004400C4" w:rsidRDefault="004400C4" w:rsidP="004400C4">
      <w:pPr>
        <w:spacing w:before="240"/>
        <w:rPr>
          <w:rFonts w:cs="Segoe UI"/>
          <w:szCs w:val="20"/>
        </w:rPr>
      </w:pPr>
    </w:p>
    <w:p w14:paraId="64C875AC" w14:textId="3CF1DFF8" w:rsidR="004400C4" w:rsidRDefault="00BF0EDB" w:rsidP="004400C4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1745A009" w14:textId="77777777" w:rsidR="004400C4" w:rsidRDefault="004400C4" w:rsidP="004400C4">
      <w:pPr>
        <w:spacing w:before="240"/>
      </w:pPr>
    </w:p>
    <w:p w14:paraId="1354BBDC" w14:textId="77777777" w:rsidR="004400C4" w:rsidRDefault="004400C4" w:rsidP="004400C4">
      <w:pPr>
        <w:spacing w:before="240"/>
      </w:pPr>
    </w:p>
    <w:p w14:paraId="06B2FE4D" w14:textId="77777777" w:rsidR="004400C4" w:rsidRDefault="004400C4" w:rsidP="004400C4">
      <w:pPr>
        <w:spacing w:before="240"/>
      </w:pPr>
    </w:p>
    <w:p w14:paraId="6F2B2B57" w14:textId="34B7B54C" w:rsidR="0058003A" w:rsidRDefault="00F551FF" w:rsidP="004400C4">
      <w:pPr>
        <w:spacing w:before="24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6AA8" w14:textId="77777777" w:rsidR="00934AA2" w:rsidRDefault="00934AA2" w:rsidP="0013795C">
      <w:pPr>
        <w:spacing w:after="0" w:line="240" w:lineRule="auto"/>
      </w:pPr>
      <w:r>
        <w:separator/>
      </w:r>
    </w:p>
  </w:endnote>
  <w:endnote w:type="continuationSeparator" w:id="0">
    <w:p w14:paraId="5E99E906" w14:textId="77777777" w:rsidR="00934AA2" w:rsidRDefault="00934AA2" w:rsidP="0013795C">
      <w:pPr>
        <w:spacing w:after="0" w:line="240" w:lineRule="auto"/>
      </w:pPr>
      <w:r>
        <w:continuationSeparator/>
      </w:r>
    </w:p>
  </w:endnote>
  <w:endnote w:type="continuationNotice" w:id="1">
    <w:p w14:paraId="396916FB" w14:textId="77777777" w:rsidR="00934AA2" w:rsidRDefault="00934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5A8D" w14:textId="77777777" w:rsidR="00934AA2" w:rsidRDefault="00934AA2" w:rsidP="0013795C">
      <w:pPr>
        <w:spacing w:after="0" w:line="240" w:lineRule="auto"/>
      </w:pPr>
      <w:r>
        <w:separator/>
      </w:r>
    </w:p>
  </w:footnote>
  <w:footnote w:type="continuationSeparator" w:id="0">
    <w:p w14:paraId="7F221C08" w14:textId="77777777" w:rsidR="00934AA2" w:rsidRDefault="00934AA2" w:rsidP="0013795C">
      <w:pPr>
        <w:spacing w:after="0" w:line="240" w:lineRule="auto"/>
      </w:pPr>
      <w:r>
        <w:continuationSeparator/>
      </w:r>
    </w:p>
  </w:footnote>
  <w:footnote w:type="continuationNotice" w:id="1">
    <w:p w14:paraId="6E56B177" w14:textId="77777777" w:rsidR="00934AA2" w:rsidRDefault="00934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407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00C4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2652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2487"/>
    <w:rsid w:val="0086255F"/>
    <w:rsid w:val="00864BAB"/>
    <w:rsid w:val="0086548E"/>
    <w:rsid w:val="008701E2"/>
    <w:rsid w:val="0088344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34AA2"/>
    <w:rsid w:val="00936493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DBE"/>
    <w:rsid w:val="00D662A3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46711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E633B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936493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936493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936493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936493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1963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2025-07-23T07:04:00Z</dcterms:created>
  <dcterms:modified xsi:type="dcterms:W3CDTF">2025-07-23T07:04:00Z</dcterms:modified>
</cp:coreProperties>
</file>