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4BF1" w14:textId="02DFC686" w:rsidR="007A18FE" w:rsidRDefault="00717869" w:rsidP="00717869">
      <w:pPr>
        <w:spacing w:before="60"/>
        <w:rPr>
          <w:rFonts w:ascii="Tahoma" w:hAnsi="Tahoma" w:cs="Tahoma"/>
          <w:b/>
          <w:sz w:val="22"/>
          <w:szCs w:val="22"/>
        </w:rPr>
      </w:pPr>
      <w:r>
        <w:rPr>
          <w:rFonts w:ascii="Tahoma" w:hAnsi="Tahoma" w:cs="Tahoma"/>
          <w:b/>
          <w:sz w:val="22"/>
          <w:szCs w:val="22"/>
        </w:rPr>
        <w:t xml:space="preserve">                                    </w:t>
      </w:r>
      <w:r w:rsidR="00427C89">
        <w:rPr>
          <w:rFonts w:ascii="Tahoma" w:hAnsi="Tahoma" w:cs="Tahoma"/>
          <w:b/>
          <w:sz w:val="22"/>
          <w:szCs w:val="22"/>
        </w:rPr>
        <w:t xml:space="preserve"> </w:t>
      </w:r>
      <w:r w:rsidR="007A18FE">
        <w:rPr>
          <w:rFonts w:ascii="Tahoma" w:hAnsi="Tahoma" w:cs="Tahoma"/>
          <w:b/>
          <w:sz w:val="22"/>
          <w:szCs w:val="22"/>
        </w:rPr>
        <w:t>DODATEK č. 1 k PŘÍKAZNÍ SMLOUVĚ</w:t>
      </w:r>
    </w:p>
    <w:p w14:paraId="04823FF5" w14:textId="777437E9" w:rsidR="007A18FE" w:rsidRDefault="007A18FE" w:rsidP="007A18FE">
      <w:pPr>
        <w:spacing w:before="60"/>
        <w:ind w:left="357"/>
        <w:jc w:val="center"/>
        <w:rPr>
          <w:rFonts w:ascii="Tahoma" w:hAnsi="Tahoma" w:cs="Tahoma"/>
          <w:b/>
          <w:sz w:val="22"/>
          <w:szCs w:val="22"/>
        </w:rPr>
      </w:pPr>
      <w:r>
        <w:rPr>
          <w:rFonts w:ascii="Tahoma" w:hAnsi="Tahoma" w:cs="Tahoma"/>
          <w:b/>
          <w:sz w:val="22"/>
          <w:szCs w:val="22"/>
        </w:rPr>
        <w:t>na výkon inženýrské činnosti (TDS) při realizaci stavby</w:t>
      </w:r>
    </w:p>
    <w:p w14:paraId="4B1FF424" w14:textId="6E45D1B4" w:rsidR="00647DA8" w:rsidRPr="0044584D" w:rsidRDefault="007A18FE" w:rsidP="0044584D">
      <w:pPr>
        <w:spacing w:before="60"/>
        <w:ind w:left="357"/>
        <w:jc w:val="center"/>
        <w:rPr>
          <w:rFonts w:ascii="Tahoma" w:hAnsi="Tahoma" w:cs="Tahoma"/>
          <w:b/>
          <w:sz w:val="22"/>
          <w:szCs w:val="22"/>
        </w:rPr>
      </w:pPr>
      <w:r>
        <w:rPr>
          <w:rFonts w:ascii="Tahoma" w:hAnsi="Tahoma" w:cs="Tahoma"/>
          <w:b/>
          <w:sz w:val="22"/>
          <w:szCs w:val="22"/>
        </w:rPr>
        <w:t>Rekonstrukce obloukové střechy</w:t>
      </w:r>
    </w:p>
    <w:p w14:paraId="13D243AE" w14:textId="77777777" w:rsidR="00647DA8" w:rsidRDefault="00647DA8" w:rsidP="00647DA8">
      <w:pPr>
        <w:pStyle w:val="Odstavecseseznamem"/>
        <w:keepNext/>
        <w:spacing w:before="360"/>
        <w:rPr>
          <w:rFonts w:ascii="Tahoma" w:hAnsi="Tahoma" w:cs="Tahoma"/>
          <w:b/>
          <w:sz w:val="22"/>
          <w:szCs w:val="22"/>
        </w:rPr>
      </w:pPr>
    </w:p>
    <w:p w14:paraId="126496DB" w14:textId="29637DA6" w:rsidR="00EA3651" w:rsidRPr="00647DA8" w:rsidRDefault="00EA3651" w:rsidP="00647DA8">
      <w:pPr>
        <w:pStyle w:val="Odstavecseseznamem"/>
        <w:keepNext/>
        <w:numPr>
          <w:ilvl w:val="0"/>
          <w:numId w:val="6"/>
        </w:numPr>
        <w:spacing w:before="360"/>
        <w:rPr>
          <w:rFonts w:ascii="Tahoma" w:hAnsi="Tahoma" w:cs="Tahoma"/>
          <w:b/>
          <w:sz w:val="22"/>
          <w:szCs w:val="22"/>
        </w:rPr>
      </w:pPr>
      <w:r w:rsidRPr="00647DA8">
        <w:rPr>
          <w:rFonts w:ascii="Tahoma" w:hAnsi="Tahoma" w:cs="Tahoma"/>
          <w:b/>
          <w:sz w:val="22"/>
          <w:szCs w:val="22"/>
        </w:rPr>
        <w:t>Na straně</w:t>
      </w:r>
      <w:r w:rsidR="006B2FED">
        <w:rPr>
          <w:rFonts w:ascii="Tahoma" w:hAnsi="Tahoma" w:cs="Tahoma"/>
          <w:b/>
          <w:sz w:val="22"/>
          <w:szCs w:val="22"/>
        </w:rPr>
        <w:t xml:space="preserve"> č.</w:t>
      </w:r>
      <w:r w:rsidRPr="00647DA8">
        <w:rPr>
          <w:rFonts w:ascii="Tahoma" w:hAnsi="Tahoma" w:cs="Tahoma"/>
          <w:b/>
          <w:sz w:val="22"/>
          <w:szCs w:val="22"/>
        </w:rPr>
        <w:t xml:space="preserve"> 2 </w:t>
      </w:r>
      <w:bookmarkStart w:id="0" w:name="_Hlk204069790"/>
      <w:r w:rsidR="002A4177">
        <w:rPr>
          <w:rFonts w:ascii="Tahoma" w:hAnsi="Tahoma" w:cs="Tahoma"/>
          <w:b/>
          <w:sz w:val="22"/>
          <w:szCs w:val="22"/>
        </w:rPr>
        <w:t xml:space="preserve">odst. 1 </w:t>
      </w:r>
      <w:bookmarkEnd w:id="0"/>
      <w:r w:rsidR="005B0C10">
        <w:rPr>
          <w:rFonts w:ascii="Tahoma" w:hAnsi="Tahoma" w:cs="Tahoma"/>
          <w:b/>
          <w:sz w:val="22"/>
          <w:szCs w:val="22"/>
        </w:rPr>
        <w:t>člán</w:t>
      </w:r>
      <w:r w:rsidR="001C7930">
        <w:rPr>
          <w:rFonts w:ascii="Tahoma" w:hAnsi="Tahoma" w:cs="Tahoma"/>
          <w:b/>
          <w:sz w:val="22"/>
          <w:szCs w:val="22"/>
        </w:rPr>
        <w:t>ek</w:t>
      </w:r>
      <w:r w:rsidR="005B0C10" w:rsidRPr="00647DA8">
        <w:rPr>
          <w:rFonts w:ascii="Tahoma" w:hAnsi="Tahoma" w:cs="Tahoma"/>
          <w:b/>
          <w:sz w:val="22"/>
          <w:szCs w:val="22"/>
        </w:rPr>
        <w:t xml:space="preserve"> III. </w:t>
      </w:r>
      <w:r w:rsidRPr="00647DA8">
        <w:rPr>
          <w:rFonts w:ascii="Tahoma" w:hAnsi="Tahoma" w:cs="Tahoma"/>
          <w:b/>
          <w:sz w:val="22"/>
          <w:szCs w:val="22"/>
        </w:rPr>
        <w:t>Předmět smlouvy se doplňuje text</w:t>
      </w:r>
      <w:r w:rsidR="00647DA8">
        <w:rPr>
          <w:rFonts w:ascii="Tahoma" w:hAnsi="Tahoma" w:cs="Tahoma"/>
          <w:b/>
          <w:sz w:val="22"/>
          <w:szCs w:val="22"/>
        </w:rPr>
        <w:t>:</w:t>
      </w:r>
    </w:p>
    <w:p w14:paraId="5099FF07" w14:textId="098EF65C" w:rsidR="00717869" w:rsidRPr="001C7930" w:rsidRDefault="00E10578" w:rsidP="001C7930">
      <w:pPr>
        <w:keepNext/>
        <w:spacing w:before="360"/>
        <w:rPr>
          <w:rFonts w:ascii="Tahoma" w:hAnsi="Tahoma" w:cs="Tahoma"/>
          <w:b/>
          <w:i/>
          <w:sz w:val="22"/>
          <w:szCs w:val="22"/>
        </w:rPr>
      </w:pPr>
      <w:r w:rsidRPr="3348CDC7">
        <w:rPr>
          <w:rFonts w:ascii="Tahoma" w:hAnsi="Tahoma" w:cs="Tahoma"/>
          <w:sz w:val="22"/>
          <w:szCs w:val="22"/>
        </w:rPr>
        <w:t xml:space="preserve">Příkazník se zavazuje pro příkazce, jeho jménem a na jeho účet vykonávat inženýrskou a investorskou činnost při realizaci stavby </w:t>
      </w:r>
      <w:r w:rsidRPr="00934C56">
        <w:rPr>
          <w:rFonts w:ascii="Tahoma" w:hAnsi="Tahoma" w:cs="Tahoma"/>
          <w:sz w:val="22"/>
          <w:szCs w:val="22"/>
        </w:rPr>
        <w:t>„</w:t>
      </w:r>
      <w:r w:rsidRPr="00532A94">
        <w:rPr>
          <w:rFonts w:ascii="Tahoma" w:hAnsi="Tahoma" w:cs="Tahoma"/>
          <w:bCs/>
          <w:sz w:val="22"/>
          <w:szCs w:val="22"/>
        </w:rPr>
        <w:t xml:space="preserve">Rekonstrukce </w:t>
      </w:r>
      <w:r>
        <w:rPr>
          <w:rFonts w:ascii="Tahoma" w:hAnsi="Tahoma" w:cs="Tahoma"/>
          <w:bCs/>
          <w:sz w:val="22"/>
          <w:szCs w:val="22"/>
        </w:rPr>
        <w:t xml:space="preserve">obloukové </w:t>
      </w:r>
      <w:r w:rsidRPr="00532A94">
        <w:rPr>
          <w:rFonts w:ascii="Tahoma" w:hAnsi="Tahoma" w:cs="Tahoma"/>
          <w:bCs/>
          <w:sz w:val="22"/>
          <w:szCs w:val="22"/>
        </w:rPr>
        <w:t>střechy</w:t>
      </w:r>
      <w:r w:rsidRPr="00934C56">
        <w:rPr>
          <w:rFonts w:ascii="Tahoma" w:hAnsi="Tahoma" w:cs="Tahoma"/>
          <w:sz w:val="22"/>
          <w:szCs w:val="22"/>
        </w:rPr>
        <w:t>“</w:t>
      </w:r>
      <w:r w:rsidRPr="3348CDC7">
        <w:rPr>
          <w:rFonts w:ascii="Tahoma" w:hAnsi="Tahoma" w:cs="Tahoma"/>
          <w:sz w:val="22"/>
          <w:szCs w:val="22"/>
        </w:rPr>
        <w:t xml:space="preserve"> (dále jen „stavba“), a to výkon technického dozoru stavebníka v souladu </w:t>
      </w:r>
      <w:r>
        <w:rPr>
          <w:rFonts w:ascii="Tahoma" w:hAnsi="Tahoma" w:cs="Tahoma"/>
          <w:sz w:val="22"/>
          <w:szCs w:val="22"/>
        </w:rPr>
        <w:t xml:space="preserve">se </w:t>
      </w:r>
      <w:r w:rsidRPr="000E5731">
        <w:rPr>
          <w:rFonts w:ascii="Tahoma" w:hAnsi="Tahoma" w:cs="Tahoma"/>
          <w:sz w:val="22"/>
          <w:szCs w:val="22"/>
        </w:rPr>
        <w:t>zákon</w:t>
      </w:r>
      <w:r>
        <w:rPr>
          <w:rFonts w:ascii="Tahoma" w:hAnsi="Tahoma" w:cs="Tahoma"/>
          <w:sz w:val="22"/>
          <w:szCs w:val="22"/>
        </w:rPr>
        <w:t>em</w:t>
      </w:r>
      <w:r w:rsidRPr="000E5731">
        <w:rPr>
          <w:rFonts w:ascii="Tahoma" w:hAnsi="Tahoma" w:cs="Tahoma"/>
          <w:sz w:val="22"/>
          <w:szCs w:val="22"/>
        </w:rPr>
        <w:t xml:space="preserve"> č. 283/2021 Sb., stavební zákon, ve znění pozdějších předpisů, </w:t>
      </w:r>
      <w:r>
        <w:rPr>
          <w:rFonts w:ascii="Tahoma" w:hAnsi="Tahoma" w:cs="Tahoma"/>
          <w:sz w:val="22"/>
          <w:szCs w:val="22"/>
        </w:rPr>
        <w:t xml:space="preserve">(dále </w:t>
      </w:r>
      <w:r w:rsidRPr="000E5731">
        <w:rPr>
          <w:rFonts w:ascii="Tahoma" w:hAnsi="Tahoma" w:cs="Tahoma"/>
          <w:sz w:val="22"/>
          <w:szCs w:val="22"/>
        </w:rPr>
        <w:t>jen „stavební zákon“)</w:t>
      </w:r>
      <w:r w:rsidR="001C7930">
        <w:rPr>
          <w:rFonts w:ascii="Tahoma" w:hAnsi="Tahoma" w:cs="Tahoma"/>
          <w:sz w:val="22"/>
          <w:szCs w:val="22"/>
        </w:rPr>
        <w:t xml:space="preserve"> </w:t>
      </w:r>
      <w:r w:rsidR="00717869" w:rsidRPr="001C7930">
        <w:rPr>
          <w:rFonts w:ascii="Tahoma" w:hAnsi="Tahoma" w:cs="Tahoma"/>
          <w:b/>
          <w:i/>
          <w:sz w:val="22"/>
          <w:szCs w:val="22"/>
        </w:rPr>
        <w:t>a výkon činnosti koordinátora bezpečnosti a ochrany zdraví při práci na staveništi (dále jen „koordinátor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nařízením vlády č. 591/2006 Sb., o bližších minimálních požadavcích na bezpečnost a ochranu zdraví při práci na staveništích,</w:t>
      </w:r>
    </w:p>
    <w:p w14:paraId="4D9B1D84" w14:textId="77777777" w:rsidR="00647DA8" w:rsidRDefault="00647DA8" w:rsidP="00963059">
      <w:pPr>
        <w:spacing w:before="60"/>
        <w:jc w:val="both"/>
        <w:rPr>
          <w:rFonts w:ascii="Tahoma" w:hAnsi="Tahoma" w:cs="Tahoma"/>
          <w:b/>
          <w:sz w:val="22"/>
          <w:szCs w:val="22"/>
        </w:rPr>
      </w:pPr>
    </w:p>
    <w:p w14:paraId="1CB11B8F" w14:textId="5F062EB1" w:rsidR="002A4177" w:rsidRDefault="002A4177" w:rsidP="00647DA8">
      <w:pPr>
        <w:pStyle w:val="Odstavecseseznamem"/>
        <w:numPr>
          <w:ilvl w:val="0"/>
          <w:numId w:val="6"/>
        </w:numPr>
        <w:spacing w:before="60"/>
        <w:jc w:val="both"/>
        <w:rPr>
          <w:rFonts w:ascii="Tahoma" w:hAnsi="Tahoma" w:cs="Tahoma"/>
          <w:b/>
          <w:sz w:val="22"/>
          <w:szCs w:val="22"/>
        </w:rPr>
      </w:pPr>
      <w:bookmarkStart w:id="1" w:name="_Hlk204070532"/>
      <w:r>
        <w:rPr>
          <w:rFonts w:ascii="Tahoma" w:hAnsi="Tahoma" w:cs="Tahoma"/>
          <w:b/>
          <w:sz w:val="22"/>
          <w:szCs w:val="22"/>
        </w:rPr>
        <w:t xml:space="preserve">Na straně </w:t>
      </w:r>
      <w:r w:rsidR="006B2FED">
        <w:rPr>
          <w:rFonts w:ascii="Tahoma" w:hAnsi="Tahoma" w:cs="Tahoma"/>
          <w:b/>
          <w:sz w:val="22"/>
          <w:szCs w:val="22"/>
        </w:rPr>
        <w:t xml:space="preserve">č. </w:t>
      </w:r>
      <w:r>
        <w:rPr>
          <w:rFonts w:ascii="Tahoma" w:hAnsi="Tahoma" w:cs="Tahoma"/>
          <w:b/>
          <w:sz w:val="22"/>
          <w:szCs w:val="22"/>
        </w:rPr>
        <w:t xml:space="preserve">4 odst. 2 </w:t>
      </w:r>
      <w:r w:rsidR="0044584D">
        <w:rPr>
          <w:rFonts w:ascii="Tahoma" w:hAnsi="Tahoma" w:cs="Tahoma"/>
          <w:b/>
          <w:sz w:val="22"/>
          <w:szCs w:val="22"/>
        </w:rPr>
        <w:t>článek</w:t>
      </w:r>
      <w:r w:rsidR="0044584D" w:rsidRPr="00647DA8">
        <w:rPr>
          <w:rFonts w:ascii="Tahoma" w:hAnsi="Tahoma" w:cs="Tahoma"/>
          <w:b/>
          <w:sz w:val="22"/>
          <w:szCs w:val="22"/>
        </w:rPr>
        <w:t xml:space="preserve"> III. </w:t>
      </w:r>
      <w:r>
        <w:rPr>
          <w:rFonts w:ascii="Tahoma" w:hAnsi="Tahoma" w:cs="Tahoma"/>
          <w:b/>
          <w:sz w:val="22"/>
          <w:szCs w:val="22"/>
        </w:rPr>
        <w:t>Předmět smlouvy se doplňuje text:</w:t>
      </w:r>
    </w:p>
    <w:bookmarkEnd w:id="1"/>
    <w:p w14:paraId="15E32C56" w14:textId="77777777" w:rsidR="002A4177" w:rsidRDefault="002A4177" w:rsidP="002A4177">
      <w:pPr>
        <w:spacing w:before="60"/>
        <w:jc w:val="both"/>
        <w:rPr>
          <w:rFonts w:ascii="Tahoma" w:hAnsi="Tahoma" w:cs="Tahoma"/>
          <w:b/>
          <w:sz w:val="22"/>
          <w:szCs w:val="22"/>
        </w:rPr>
      </w:pPr>
    </w:p>
    <w:p w14:paraId="169B0641" w14:textId="3691E3F6" w:rsidR="007A18FE" w:rsidRPr="002A4177" w:rsidRDefault="007A18FE" w:rsidP="002A4177">
      <w:pPr>
        <w:spacing w:before="60"/>
        <w:jc w:val="both"/>
        <w:rPr>
          <w:rFonts w:ascii="Tahoma" w:hAnsi="Tahoma" w:cs="Tahoma"/>
          <w:b/>
          <w:sz w:val="22"/>
          <w:szCs w:val="22"/>
        </w:rPr>
      </w:pPr>
      <w:r w:rsidRPr="002A4177">
        <w:rPr>
          <w:rFonts w:ascii="Tahoma" w:hAnsi="Tahoma" w:cs="Tahoma"/>
          <w:b/>
          <w:sz w:val="22"/>
          <w:szCs w:val="22"/>
        </w:rPr>
        <w:t>Činnosti koordinátora BOZP:</w:t>
      </w:r>
    </w:p>
    <w:p w14:paraId="544BB438" w14:textId="48291012" w:rsidR="007A18FE" w:rsidRPr="007A18FE" w:rsidRDefault="0044584D" w:rsidP="0044584D">
      <w:pPr>
        <w:spacing w:before="60"/>
        <w:jc w:val="both"/>
        <w:rPr>
          <w:rFonts w:ascii="Tahoma" w:hAnsi="Tahoma" w:cs="Tahoma"/>
          <w:sz w:val="22"/>
          <w:szCs w:val="22"/>
        </w:rPr>
      </w:pPr>
      <w:proofErr w:type="spellStart"/>
      <w:r>
        <w:rPr>
          <w:rFonts w:ascii="Tahoma" w:hAnsi="Tahoma" w:cs="Tahoma"/>
          <w:sz w:val="22"/>
          <w:szCs w:val="22"/>
        </w:rPr>
        <w:t>oo</w:t>
      </w:r>
      <w:proofErr w:type="spellEnd"/>
      <w:r>
        <w:rPr>
          <w:rFonts w:ascii="Tahoma" w:hAnsi="Tahoma" w:cs="Tahoma"/>
          <w:sz w:val="22"/>
          <w:szCs w:val="22"/>
        </w:rPr>
        <w:t xml:space="preserve">) </w:t>
      </w:r>
      <w:r w:rsidR="007A18FE" w:rsidRPr="007A18FE">
        <w:rPr>
          <w:rFonts w:ascii="Tahoma" w:hAnsi="Tahoma" w:cs="Tahoma"/>
          <w:sz w:val="22"/>
          <w:szCs w:val="22"/>
        </w:rPr>
        <w:t>Zajištění všech povinností stavebníka (příkazce) plynoucích ze zákona č. 309/2006 Sb. (mimo povinností příkazce vůči koordinátorovi BOZP), včetně zajištění oznámení o zahájení prací a jeho doručení příslušnému oblastnímu inspektorátu práce. Neprodleně po podání oznámení o zahájení prací předá příkazník příkazci kopii oznámení s potvrzením o jeho podání příslušnému úřadu.</w:t>
      </w:r>
    </w:p>
    <w:p w14:paraId="774DA28E" w14:textId="182493B3" w:rsidR="007A18FE" w:rsidRPr="007A18FE" w:rsidRDefault="0044584D" w:rsidP="0044584D">
      <w:pPr>
        <w:spacing w:before="60"/>
        <w:jc w:val="both"/>
        <w:rPr>
          <w:rFonts w:ascii="Tahoma" w:hAnsi="Tahoma" w:cs="Tahoma"/>
          <w:sz w:val="22"/>
          <w:szCs w:val="22"/>
        </w:rPr>
      </w:pPr>
      <w:r>
        <w:rPr>
          <w:rFonts w:ascii="Tahoma" w:hAnsi="Tahoma" w:cs="Tahoma"/>
          <w:sz w:val="22"/>
          <w:szCs w:val="22"/>
        </w:rPr>
        <w:t xml:space="preserve">pp) </w:t>
      </w:r>
      <w:r w:rsidR="007A18FE" w:rsidRPr="007A18FE">
        <w:rPr>
          <w:rFonts w:ascii="Tahoma" w:hAnsi="Tahoma" w:cs="Tahoma"/>
          <w:sz w:val="22"/>
          <w:szCs w:val="22"/>
        </w:rPr>
        <w:t>V rámci výkonu koordinátora BOZP je příkazník povinen z hlediska bezpečnosti a ochrany zdraví při práci provádět zejména následující činnosti, které je povinen také zaznamenat:</w:t>
      </w:r>
    </w:p>
    <w:p w14:paraId="78621619"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Seznamuje dotčené osoby s místními riziky za účelem předcházení ohrožení života a zdraví osob, které se s vědomím zhotovitele mohou zdržovat na staveništi (pokud stavební práce probíhají za provozu),</w:t>
      </w:r>
    </w:p>
    <w:p w14:paraId="65F6A84D"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Zpracovává plán bezpečnosti a ochrany zdraví při práci na staveništi (dále jen „plán BOZP“) před zahájením prací na staveništi, včetně jeho aktualizace v průběhu stavby a seznamuje s ním dotčené osoby,</w:t>
      </w:r>
    </w:p>
    <w:p w14:paraId="42A38F7A"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organizuje pravidelné kontrolní dny bezpečnosti a ochrany zdraví při práci a pořizuje zápisy z nich,</w:t>
      </w:r>
    </w:p>
    <w:p w14:paraId="17C41EAE"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provádí v průběhu realizace stavby v rozsahu minimálně 1x týdně další kontroly na staveništi mimo kontrolní dny a pořizuje zápisy z nich,</w:t>
      </w:r>
    </w:p>
    <w:p w14:paraId="59D9A724"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upozorňuje zhotovitele na nedostatky v uplatňování požadavků na bezpečnost a ochranu zdraví při práci nebo na nedodržení plánu BOZP zjištěné při kontrolách a ukládá k nim opatření k nápravě; o zjištěných nedostatcích týkajících se bezpečnosti a ochrany zdraví při práci pořizuje fotodokumentaci,</w:t>
      </w:r>
    </w:p>
    <w:p w14:paraId="0DEDF72F"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oznamuje příkazci případy dle předchozí odrážky a nepřijetí uložených opatření k nápravě zhotovitelem,</w:t>
      </w:r>
    </w:p>
    <w:p w14:paraId="7D307726"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lastRenderedPageBreak/>
        <w:t>koordinuje svoji činnost s techniky bezpečnosti a ochrany zdraví při práci jednotlivých poddodavatelů, popř. s koordinátory BOZP u souběžně probíhajících staveb,</w:t>
      </w:r>
    </w:p>
    <w:p w14:paraId="4757EC08"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koordinuje činnosti jednotlivých poddodavatelů s cílem vyloučení bezpečnostních kolizí,</w:t>
      </w:r>
    </w:p>
    <w:p w14:paraId="1306D93C" w14:textId="77777777" w:rsidR="007A18FE" w:rsidRPr="007A18FE" w:rsidRDefault="007A18FE" w:rsidP="007A18FE">
      <w:pPr>
        <w:numPr>
          <w:ilvl w:val="0"/>
          <w:numId w:val="3"/>
        </w:numPr>
        <w:tabs>
          <w:tab w:val="num" w:pos="1276"/>
        </w:tabs>
        <w:spacing w:before="60"/>
        <w:ind w:left="1276" w:hanging="425"/>
        <w:jc w:val="both"/>
        <w:rPr>
          <w:rFonts w:ascii="Tahoma" w:hAnsi="Tahoma" w:cs="Tahoma"/>
          <w:sz w:val="22"/>
          <w:szCs w:val="22"/>
        </w:rPr>
      </w:pPr>
      <w:r w:rsidRPr="007A18FE">
        <w:rPr>
          <w:rFonts w:ascii="Tahoma" w:hAnsi="Tahoma" w:cs="Tahoma"/>
          <w:sz w:val="22"/>
          <w:szCs w:val="22"/>
        </w:rPr>
        <w:t>kontroluje dodržování čistoty a pořádku na staveništi.</w:t>
      </w:r>
    </w:p>
    <w:p w14:paraId="08C87C9C" w14:textId="2693F89B" w:rsidR="007A18FE" w:rsidRDefault="0044584D" w:rsidP="0044584D">
      <w:pPr>
        <w:tabs>
          <w:tab w:val="num" w:pos="714"/>
        </w:tabs>
        <w:spacing w:before="60"/>
        <w:jc w:val="both"/>
        <w:rPr>
          <w:rFonts w:ascii="Tahoma" w:hAnsi="Tahoma" w:cs="Tahoma"/>
          <w:sz w:val="22"/>
          <w:szCs w:val="22"/>
        </w:rPr>
      </w:pPr>
      <w:proofErr w:type="spellStart"/>
      <w:r>
        <w:rPr>
          <w:rFonts w:ascii="Tahoma" w:hAnsi="Tahoma" w:cs="Tahoma"/>
          <w:sz w:val="22"/>
          <w:szCs w:val="22"/>
        </w:rPr>
        <w:t>qq</w:t>
      </w:r>
      <w:proofErr w:type="spellEnd"/>
      <w:r>
        <w:rPr>
          <w:rFonts w:ascii="Tahoma" w:hAnsi="Tahoma" w:cs="Tahoma"/>
          <w:sz w:val="22"/>
          <w:szCs w:val="22"/>
        </w:rPr>
        <w:t xml:space="preserve">) </w:t>
      </w:r>
      <w:r w:rsidR="007A18FE" w:rsidRPr="007A18FE">
        <w:rPr>
          <w:rFonts w:ascii="Tahoma" w:hAnsi="Tahoma" w:cs="Tahoma"/>
          <w:sz w:val="22"/>
          <w:szCs w:val="22"/>
        </w:rPr>
        <w:t>Zasílat příkazci 1x týdně zápisy z kontrolních dnů a z dalších provedených kontrol, jejichž součástí bude seznam zjištěných nedostatků v uplatňování požadavků na bezpečnost a ochranu zdraví při práci a nedodržení plánu BOZP včetně údajů o nepřijetí uložených opatření k nápravě zhotovitelem a pořízené fotodokumentace (jako podklad pro přijetí opatření příkazcem k odstranění nedostatků vytýkaných příkazníkem).</w:t>
      </w:r>
    </w:p>
    <w:p w14:paraId="27DE6C4D" w14:textId="1AED92DA" w:rsidR="00D62DA1" w:rsidRDefault="00D62DA1" w:rsidP="0044584D">
      <w:pPr>
        <w:tabs>
          <w:tab w:val="num" w:pos="714"/>
        </w:tabs>
        <w:spacing w:before="60"/>
        <w:jc w:val="both"/>
        <w:rPr>
          <w:rFonts w:ascii="Tahoma" w:hAnsi="Tahoma" w:cs="Tahoma"/>
          <w:sz w:val="22"/>
          <w:szCs w:val="22"/>
        </w:rPr>
      </w:pPr>
    </w:p>
    <w:p w14:paraId="251608C4" w14:textId="500AA91B" w:rsidR="00EE4EF9" w:rsidRDefault="00EE4EF9" w:rsidP="00EE4EF9">
      <w:pPr>
        <w:pStyle w:val="Odstavecseseznamem"/>
        <w:numPr>
          <w:ilvl w:val="0"/>
          <w:numId w:val="6"/>
        </w:numPr>
        <w:spacing w:before="60"/>
        <w:jc w:val="both"/>
        <w:rPr>
          <w:rFonts w:ascii="Tahoma" w:hAnsi="Tahoma" w:cs="Tahoma"/>
          <w:b/>
          <w:sz w:val="22"/>
          <w:szCs w:val="22"/>
        </w:rPr>
      </w:pPr>
      <w:r>
        <w:rPr>
          <w:rFonts w:ascii="Tahoma" w:hAnsi="Tahoma" w:cs="Tahoma"/>
          <w:b/>
          <w:sz w:val="22"/>
          <w:szCs w:val="22"/>
        </w:rPr>
        <w:t>Na straně</w:t>
      </w:r>
      <w:r w:rsidR="006B2FED">
        <w:rPr>
          <w:rFonts w:ascii="Tahoma" w:hAnsi="Tahoma" w:cs="Tahoma"/>
          <w:b/>
          <w:sz w:val="22"/>
          <w:szCs w:val="22"/>
        </w:rPr>
        <w:t xml:space="preserve"> č.</w:t>
      </w:r>
      <w:r>
        <w:rPr>
          <w:rFonts w:ascii="Tahoma" w:hAnsi="Tahoma" w:cs="Tahoma"/>
          <w:b/>
          <w:sz w:val="22"/>
          <w:szCs w:val="22"/>
        </w:rPr>
        <w:t xml:space="preserve"> 5 odst. 1 článek</w:t>
      </w:r>
      <w:r w:rsidRPr="00647DA8">
        <w:rPr>
          <w:rFonts w:ascii="Tahoma" w:hAnsi="Tahoma" w:cs="Tahoma"/>
          <w:b/>
          <w:sz w:val="22"/>
          <w:szCs w:val="22"/>
        </w:rPr>
        <w:t xml:space="preserve"> </w:t>
      </w:r>
      <w:r>
        <w:rPr>
          <w:rFonts w:ascii="Tahoma" w:hAnsi="Tahoma" w:cs="Tahoma"/>
          <w:b/>
          <w:sz w:val="22"/>
          <w:szCs w:val="22"/>
        </w:rPr>
        <w:t>V</w:t>
      </w:r>
      <w:r w:rsidRPr="00647DA8">
        <w:rPr>
          <w:rFonts w:ascii="Tahoma" w:hAnsi="Tahoma" w:cs="Tahoma"/>
          <w:b/>
          <w:sz w:val="22"/>
          <w:szCs w:val="22"/>
        </w:rPr>
        <w:t xml:space="preserve">. </w:t>
      </w:r>
      <w:r>
        <w:rPr>
          <w:rFonts w:ascii="Tahoma" w:hAnsi="Tahoma" w:cs="Tahoma"/>
          <w:b/>
          <w:sz w:val="22"/>
          <w:szCs w:val="22"/>
        </w:rPr>
        <w:t>Odměna se doplňuje text:</w:t>
      </w:r>
    </w:p>
    <w:p w14:paraId="4B20FA34" w14:textId="4B2B8C02" w:rsidR="00EE4EF9" w:rsidRDefault="00EE4EF9" w:rsidP="00EE4EF9">
      <w:pPr>
        <w:pStyle w:val="Odstavecseseznamem"/>
        <w:spacing w:before="60"/>
        <w:ind w:left="360"/>
        <w:jc w:val="both"/>
        <w:rPr>
          <w:rFonts w:ascii="Tahoma" w:hAnsi="Tahoma" w:cs="Tahoma"/>
          <w:b/>
          <w:sz w:val="22"/>
          <w:szCs w:val="22"/>
        </w:rPr>
      </w:pPr>
    </w:p>
    <w:p w14:paraId="0B929ED7" w14:textId="3F0974EA" w:rsidR="00EE4EF9" w:rsidRDefault="00EE4EF9" w:rsidP="00EE4EF9">
      <w:pPr>
        <w:spacing w:before="120"/>
        <w:jc w:val="both"/>
        <w:rPr>
          <w:rFonts w:ascii="Tahoma" w:hAnsi="Tahoma" w:cs="Tahoma"/>
          <w:sz w:val="22"/>
          <w:szCs w:val="22"/>
        </w:rPr>
      </w:pPr>
      <w:r>
        <w:rPr>
          <w:rFonts w:ascii="Tahoma" w:hAnsi="Tahoma" w:cs="Tahoma"/>
          <w:sz w:val="22"/>
          <w:szCs w:val="22"/>
        </w:rPr>
        <w:t>Celková o</w:t>
      </w:r>
      <w:r w:rsidRPr="00C46335">
        <w:rPr>
          <w:rFonts w:ascii="Tahoma" w:hAnsi="Tahoma" w:cs="Tahoma"/>
          <w:sz w:val="22"/>
          <w:szCs w:val="22"/>
        </w:rPr>
        <w:t>dměna za inženýrskou činnost</w:t>
      </w:r>
      <w:r>
        <w:rPr>
          <w:rFonts w:ascii="Tahoma" w:hAnsi="Tahoma" w:cs="Tahoma"/>
          <w:sz w:val="22"/>
          <w:szCs w:val="22"/>
        </w:rPr>
        <w:t xml:space="preserve"> dle této smlouvy</w:t>
      </w:r>
      <w:r w:rsidRPr="00EE4EF9">
        <w:rPr>
          <w:rFonts w:ascii="Tahoma" w:hAnsi="Tahoma" w:cs="Tahoma"/>
          <w:sz w:val="22"/>
          <w:szCs w:val="22"/>
        </w:rPr>
        <w:t xml:space="preserve"> </w:t>
      </w:r>
      <w:r w:rsidRPr="00EE4EF9">
        <w:rPr>
          <w:rFonts w:ascii="Tahoma" w:hAnsi="Tahoma" w:cs="Tahoma"/>
          <w:b/>
          <w:i/>
          <w:sz w:val="22"/>
          <w:szCs w:val="22"/>
        </w:rPr>
        <w:t>(včetně činnosti koordinátora BOZP)</w:t>
      </w:r>
      <w:r w:rsidRPr="00EE4EF9">
        <w:rPr>
          <w:rFonts w:ascii="Tahoma" w:hAnsi="Tahoma" w:cs="Tahoma"/>
          <w:sz w:val="22"/>
          <w:szCs w:val="22"/>
        </w:rPr>
        <w:t xml:space="preserve"> </w:t>
      </w:r>
    </w:p>
    <w:p w14:paraId="53A0269D" w14:textId="41F62D00" w:rsidR="00EE4EF9" w:rsidRDefault="00EE4EF9" w:rsidP="00EE4EF9">
      <w:pPr>
        <w:spacing w:before="120"/>
        <w:jc w:val="both"/>
        <w:rPr>
          <w:rFonts w:ascii="Tahoma" w:hAnsi="Tahoma" w:cs="Tahoma"/>
          <w:sz w:val="22"/>
          <w:szCs w:val="22"/>
        </w:rPr>
      </w:pPr>
    </w:p>
    <w:p w14:paraId="546CD548" w14:textId="0D315F16" w:rsidR="00EE4EF9" w:rsidRDefault="00EE4EF9" w:rsidP="005E2D5A">
      <w:pPr>
        <w:spacing w:before="60"/>
        <w:jc w:val="both"/>
        <w:rPr>
          <w:rFonts w:ascii="Tahoma" w:hAnsi="Tahoma" w:cs="Tahoma"/>
          <w:b/>
          <w:sz w:val="22"/>
          <w:szCs w:val="22"/>
        </w:rPr>
      </w:pPr>
      <w:r w:rsidRPr="00EE4EF9">
        <w:rPr>
          <w:rFonts w:ascii="Tahoma" w:hAnsi="Tahoma" w:cs="Tahoma"/>
          <w:b/>
          <w:sz w:val="22"/>
          <w:szCs w:val="22"/>
        </w:rPr>
        <w:t>4) Na straně</w:t>
      </w:r>
      <w:r w:rsidR="00BF40D7">
        <w:rPr>
          <w:rFonts w:ascii="Tahoma" w:hAnsi="Tahoma" w:cs="Tahoma"/>
          <w:b/>
          <w:sz w:val="22"/>
          <w:szCs w:val="22"/>
        </w:rPr>
        <w:t xml:space="preserve"> č.</w:t>
      </w:r>
      <w:r w:rsidRPr="00EE4EF9">
        <w:rPr>
          <w:rFonts w:ascii="Tahoma" w:hAnsi="Tahoma" w:cs="Tahoma"/>
          <w:b/>
          <w:sz w:val="22"/>
          <w:szCs w:val="22"/>
        </w:rPr>
        <w:t xml:space="preserve"> 6 odst. </w:t>
      </w:r>
      <w:r>
        <w:rPr>
          <w:rFonts w:ascii="Tahoma" w:hAnsi="Tahoma" w:cs="Tahoma"/>
          <w:b/>
          <w:sz w:val="22"/>
          <w:szCs w:val="22"/>
        </w:rPr>
        <w:t>2 b)</w:t>
      </w:r>
      <w:r w:rsidRPr="00EE4EF9">
        <w:rPr>
          <w:rFonts w:ascii="Tahoma" w:hAnsi="Tahoma" w:cs="Tahoma"/>
          <w:b/>
          <w:sz w:val="22"/>
          <w:szCs w:val="22"/>
        </w:rPr>
        <w:t xml:space="preserve"> článek V</w:t>
      </w:r>
      <w:r>
        <w:rPr>
          <w:rFonts w:ascii="Tahoma" w:hAnsi="Tahoma" w:cs="Tahoma"/>
          <w:b/>
          <w:sz w:val="22"/>
          <w:szCs w:val="22"/>
        </w:rPr>
        <w:t>I</w:t>
      </w:r>
      <w:r w:rsidRPr="00EE4EF9">
        <w:rPr>
          <w:rFonts w:ascii="Tahoma" w:hAnsi="Tahoma" w:cs="Tahoma"/>
          <w:b/>
          <w:sz w:val="22"/>
          <w:szCs w:val="22"/>
        </w:rPr>
        <w:t xml:space="preserve">. </w:t>
      </w:r>
      <w:r>
        <w:rPr>
          <w:rFonts w:ascii="Tahoma" w:hAnsi="Tahoma" w:cs="Tahoma"/>
          <w:b/>
          <w:sz w:val="22"/>
          <w:szCs w:val="22"/>
        </w:rPr>
        <w:t>Platební podmínky</w:t>
      </w:r>
      <w:r w:rsidRPr="00EE4EF9">
        <w:rPr>
          <w:rFonts w:ascii="Tahoma" w:hAnsi="Tahoma" w:cs="Tahoma"/>
          <w:b/>
          <w:sz w:val="22"/>
          <w:szCs w:val="22"/>
        </w:rPr>
        <w:t xml:space="preserve"> se doplňuje text:</w:t>
      </w:r>
    </w:p>
    <w:p w14:paraId="1C293C48" w14:textId="3FA1996F" w:rsidR="00EE4EF9" w:rsidRPr="00EE4EF9" w:rsidRDefault="00963059" w:rsidP="00EE4EF9">
      <w:pPr>
        <w:spacing w:before="120"/>
        <w:jc w:val="both"/>
        <w:rPr>
          <w:rFonts w:ascii="Tahoma" w:hAnsi="Tahoma" w:cs="Tahoma"/>
          <w:b/>
          <w:sz w:val="22"/>
          <w:szCs w:val="22"/>
        </w:rPr>
      </w:pPr>
      <w:r>
        <w:rPr>
          <w:rFonts w:ascii="Tahoma" w:hAnsi="Tahoma" w:cs="Tahoma"/>
          <w:sz w:val="22"/>
          <w:szCs w:val="22"/>
        </w:rPr>
        <w:t>p</w:t>
      </w:r>
      <w:r w:rsidRPr="00963059">
        <w:rPr>
          <w:rFonts w:ascii="Tahoma" w:hAnsi="Tahoma" w:cs="Tahoma"/>
          <w:sz w:val="22"/>
          <w:szCs w:val="22"/>
        </w:rPr>
        <w:t xml:space="preserve">ředmět smlouvy, tj. text </w:t>
      </w:r>
      <w:r>
        <w:rPr>
          <w:rFonts w:ascii="Tahoma" w:hAnsi="Tahoma" w:cs="Tahoma"/>
          <w:sz w:val="22"/>
          <w:szCs w:val="22"/>
        </w:rPr>
        <w:t>„</w:t>
      </w:r>
      <w:r w:rsidRPr="00963059">
        <w:rPr>
          <w:rFonts w:ascii="Tahoma" w:hAnsi="Tahoma" w:cs="Tahoma"/>
          <w:sz w:val="22"/>
          <w:szCs w:val="22"/>
        </w:rPr>
        <w:t>výkon TDS</w:t>
      </w:r>
      <w:r>
        <w:rPr>
          <w:rFonts w:ascii="Tahoma" w:hAnsi="Tahoma" w:cs="Tahoma"/>
          <w:b/>
          <w:i/>
          <w:sz w:val="22"/>
          <w:szCs w:val="22"/>
        </w:rPr>
        <w:t xml:space="preserve"> </w:t>
      </w:r>
      <w:r w:rsidR="00EE4EF9" w:rsidRPr="00EE4EF9">
        <w:rPr>
          <w:rFonts w:ascii="Tahoma" w:hAnsi="Tahoma" w:cs="Tahoma"/>
          <w:b/>
          <w:i/>
          <w:sz w:val="22"/>
          <w:szCs w:val="22"/>
        </w:rPr>
        <w:t>a koordinátora BOZP</w:t>
      </w:r>
      <w:r w:rsidR="00EE4EF9" w:rsidRPr="00EE4EF9">
        <w:rPr>
          <w:rFonts w:ascii="Tahoma" w:hAnsi="Tahoma" w:cs="Tahoma"/>
          <w:sz w:val="22"/>
          <w:szCs w:val="22"/>
        </w:rPr>
        <w:t xml:space="preserve"> pro stavbu </w:t>
      </w:r>
      <w:r w:rsidR="00EE4EF9">
        <w:rPr>
          <w:rFonts w:ascii="Tahoma" w:hAnsi="Tahoma" w:cs="Tahoma"/>
          <w:sz w:val="22"/>
          <w:szCs w:val="22"/>
        </w:rPr>
        <w:t>Rekonstrukce obloukové střechy</w:t>
      </w:r>
      <w:r>
        <w:rPr>
          <w:rFonts w:ascii="Tahoma" w:hAnsi="Tahoma" w:cs="Tahoma"/>
          <w:sz w:val="22"/>
          <w:szCs w:val="22"/>
        </w:rPr>
        <w:t>“</w:t>
      </w:r>
    </w:p>
    <w:p w14:paraId="5143D107" w14:textId="4C205C0F" w:rsidR="00BF40D7" w:rsidRDefault="00BF40D7" w:rsidP="00BF40D7">
      <w:pPr>
        <w:spacing w:before="120"/>
        <w:jc w:val="both"/>
        <w:rPr>
          <w:rFonts w:ascii="Tahoma" w:hAnsi="Tahoma" w:cs="Tahoma"/>
          <w:sz w:val="22"/>
          <w:szCs w:val="22"/>
        </w:rPr>
      </w:pPr>
    </w:p>
    <w:p w14:paraId="242FD2DC" w14:textId="416E0EE2" w:rsidR="00BF40D7" w:rsidRDefault="00BF40D7" w:rsidP="00BF40D7">
      <w:pPr>
        <w:pStyle w:val="Odstavecseseznamem"/>
        <w:numPr>
          <w:ilvl w:val="0"/>
          <w:numId w:val="9"/>
        </w:numPr>
        <w:rPr>
          <w:rFonts w:ascii="Tahoma" w:hAnsi="Tahoma" w:cs="Tahoma"/>
          <w:b/>
          <w:sz w:val="22"/>
          <w:szCs w:val="22"/>
        </w:rPr>
      </w:pPr>
      <w:r w:rsidRPr="00BF40D7">
        <w:rPr>
          <w:rFonts w:ascii="Tahoma" w:hAnsi="Tahoma" w:cs="Tahoma"/>
          <w:b/>
          <w:sz w:val="22"/>
          <w:szCs w:val="22"/>
        </w:rPr>
        <w:t>Na straně č. 8. článek VIII. Práva a povinnosti příkazn</w:t>
      </w:r>
      <w:r w:rsidR="006B2FED">
        <w:rPr>
          <w:rFonts w:ascii="Tahoma" w:hAnsi="Tahoma" w:cs="Tahoma"/>
          <w:b/>
          <w:sz w:val="22"/>
          <w:szCs w:val="22"/>
        </w:rPr>
        <w:t>íka</w:t>
      </w:r>
      <w:r w:rsidRPr="00BF40D7">
        <w:rPr>
          <w:rFonts w:ascii="Tahoma" w:hAnsi="Tahoma" w:cs="Tahoma"/>
          <w:b/>
          <w:sz w:val="22"/>
          <w:szCs w:val="22"/>
        </w:rPr>
        <w:t xml:space="preserve"> </w:t>
      </w:r>
      <w:r>
        <w:rPr>
          <w:rFonts w:ascii="Tahoma" w:hAnsi="Tahoma" w:cs="Tahoma"/>
          <w:b/>
          <w:sz w:val="22"/>
          <w:szCs w:val="22"/>
        </w:rPr>
        <w:t xml:space="preserve">se </w:t>
      </w:r>
      <w:r w:rsidRPr="00BF40D7">
        <w:rPr>
          <w:rFonts w:ascii="Tahoma" w:hAnsi="Tahoma" w:cs="Tahoma"/>
          <w:b/>
          <w:sz w:val="22"/>
          <w:szCs w:val="22"/>
        </w:rPr>
        <w:t>doplňuje odst</w:t>
      </w:r>
      <w:r w:rsidR="00345487">
        <w:rPr>
          <w:rFonts w:ascii="Tahoma" w:hAnsi="Tahoma" w:cs="Tahoma"/>
          <w:b/>
          <w:sz w:val="22"/>
          <w:szCs w:val="22"/>
        </w:rPr>
        <w:t>.</w:t>
      </w:r>
      <w:r w:rsidR="00602FB4">
        <w:rPr>
          <w:rFonts w:ascii="Tahoma" w:hAnsi="Tahoma" w:cs="Tahoma"/>
          <w:b/>
          <w:sz w:val="22"/>
          <w:szCs w:val="22"/>
        </w:rPr>
        <w:t>:</w:t>
      </w:r>
    </w:p>
    <w:p w14:paraId="31190815" w14:textId="77777777" w:rsidR="00602FB4" w:rsidRPr="00BF40D7" w:rsidRDefault="00602FB4" w:rsidP="00602FB4">
      <w:pPr>
        <w:pStyle w:val="Odstavecseseznamem"/>
        <w:ind w:left="360"/>
        <w:rPr>
          <w:rFonts w:ascii="Tahoma" w:hAnsi="Tahoma" w:cs="Tahoma"/>
          <w:b/>
          <w:sz w:val="22"/>
          <w:szCs w:val="22"/>
        </w:rPr>
      </w:pPr>
    </w:p>
    <w:p w14:paraId="11525511" w14:textId="3416E09F" w:rsidR="00BF40D7" w:rsidRPr="00BF40D7" w:rsidRDefault="00BF40D7" w:rsidP="00BF40D7">
      <w:pPr>
        <w:pStyle w:val="Smlouva3"/>
        <w:rPr>
          <w:sz w:val="22"/>
          <w:szCs w:val="22"/>
        </w:rPr>
      </w:pPr>
      <w:r>
        <w:rPr>
          <w:rFonts w:ascii="Tahoma" w:hAnsi="Tahoma" w:cs="Tahoma"/>
          <w:sz w:val="22"/>
          <w:szCs w:val="22"/>
        </w:rPr>
        <w:t xml:space="preserve">7. </w:t>
      </w:r>
      <w:r w:rsidRPr="00BF40D7">
        <w:rPr>
          <w:rFonts w:ascii="Tahoma" w:hAnsi="Tahoma" w:cs="Tahoma"/>
          <w:sz w:val="22"/>
          <w:szCs w:val="22"/>
        </w:rPr>
        <w:t>Příkazník je oprávněn vykonávat činnost koordinátora BOZP ve smyslu zákona č. 309/2006 Sb. pouze prostřednictvím osoby, která splňuje stanovené předpoklady odborné způsobilosti dle zákona č. 309/2006 Sb. Příkazník je povinen před zahájením výkonu činnosti koordinátora BOZP předat příkazci osvědčení o odborné způsobilosti pro konkrétní fyzickou osobu, která bude činnost koordinátora BOZP za příkazníka vykonávat.</w:t>
      </w:r>
    </w:p>
    <w:p w14:paraId="77A0E59C" w14:textId="35F0BD3A" w:rsidR="00345487" w:rsidRDefault="00BF40D7" w:rsidP="005E2D5A">
      <w:pPr>
        <w:pStyle w:val="Smlouva3"/>
        <w:rPr>
          <w:rFonts w:ascii="Tahoma" w:hAnsi="Tahoma" w:cs="Tahoma"/>
          <w:sz w:val="22"/>
          <w:szCs w:val="22"/>
        </w:rPr>
      </w:pPr>
      <w:r w:rsidRPr="00BF40D7">
        <w:rPr>
          <w:rFonts w:ascii="Tahoma" w:hAnsi="Tahoma" w:cs="Tahoma"/>
          <w:sz w:val="22"/>
          <w:szCs w:val="22"/>
        </w:rPr>
        <w:t>Je</w:t>
      </w:r>
      <w:r w:rsidRPr="00BF40D7">
        <w:rPr>
          <w:rFonts w:ascii="Tahoma" w:hAnsi="Tahoma" w:cs="Tahoma"/>
          <w:sz w:val="22"/>
          <w:szCs w:val="22"/>
        </w:rPr>
        <w:noBreakHyphen/>
        <w:t>li příkazníkem právnická osoba nebo fyzická osoba zaměstnávající koordinátora BOZP, je příkazník povinen před zahájením výkonu činnosti koordinátora BOZP písemně informovat příkazce, která konkrétní fyzická osoba bude pověřena výkonem činnosti koordinátora BOZP a předat příkazci osvědčení o odborné způsobilosti dle zákona č. 309/2006 Sb. pro tuto osobu. Dojde</w:t>
      </w:r>
      <w:r w:rsidRPr="00BF40D7">
        <w:rPr>
          <w:rFonts w:ascii="Tahoma" w:hAnsi="Tahoma" w:cs="Tahoma"/>
          <w:sz w:val="22"/>
          <w:szCs w:val="22"/>
        </w:rPr>
        <w:noBreakHyphen/>
        <w:t>li v průběhu výkonu inženýrské činnosti ke změně fyzické osoby pověřené výkonem činnosti koordinátora BOZP, je příkazník povinen tuto změnu příkazci předem oznámit a předat mu osvědčení o odborné způsobilosti pro novou fyzickou osobu, která bude pověřena výkonem činnosti koordinátora BOZP. Nebude-li pověřená fyzická osoba vykonávat činnost koordinátora BOZP řádně, či nebude-li moci tato fyzická osoba činnost koordinátora BOZP vykonávat, je příkazník povinen bezodkladně pověřit jinou fyzickou osobu, která bude činnost koordinátora BOZP za příkazníka vykonávat, s tím, že tato osoba musí splňovat stanovené předpoklady odborné způsobilosti dle zákona č. 309/2006 Sb.</w:t>
      </w:r>
    </w:p>
    <w:p w14:paraId="088F0D65" w14:textId="1956F8D5" w:rsidR="00272215" w:rsidRDefault="00272215" w:rsidP="005E2D5A">
      <w:pPr>
        <w:pStyle w:val="Smlouva3"/>
        <w:rPr>
          <w:rFonts w:ascii="Tahoma" w:eastAsia="Tahoma" w:hAnsi="Tahoma" w:cs="Tahoma"/>
          <w:sz w:val="22"/>
          <w:szCs w:val="22"/>
        </w:rPr>
      </w:pPr>
    </w:p>
    <w:p w14:paraId="3894CD1C" w14:textId="3F8D7AD2" w:rsidR="00BF42EF" w:rsidRDefault="00BF42EF" w:rsidP="005E2D5A">
      <w:pPr>
        <w:pStyle w:val="Smlouva3"/>
        <w:rPr>
          <w:rFonts w:ascii="Tahoma" w:eastAsia="Tahoma" w:hAnsi="Tahoma" w:cs="Tahoma"/>
          <w:sz w:val="22"/>
          <w:szCs w:val="22"/>
        </w:rPr>
      </w:pPr>
    </w:p>
    <w:p w14:paraId="31ADA75A" w14:textId="6DF9F219" w:rsidR="00BF42EF" w:rsidRDefault="00BF42EF" w:rsidP="005E2D5A">
      <w:pPr>
        <w:pStyle w:val="Smlouva3"/>
        <w:rPr>
          <w:rFonts w:ascii="Tahoma" w:eastAsia="Tahoma" w:hAnsi="Tahoma" w:cs="Tahoma"/>
          <w:sz w:val="22"/>
          <w:szCs w:val="22"/>
        </w:rPr>
      </w:pPr>
    </w:p>
    <w:p w14:paraId="28C99116" w14:textId="57CFB0F6" w:rsidR="00BF42EF" w:rsidRDefault="00BF42EF" w:rsidP="005E2D5A">
      <w:pPr>
        <w:pStyle w:val="Smlouva3"/>
        <w:rPr>
          <w:rFonts w:ascii="Tahoma" w:eastAsia="Tahoma" w:hAnsi="Tahoma" w:cs="Tahoma"/>
          <w:sz w:val="22"/>
          <w:szCs w:val="22"/>
        </w:rPr>
      </w:pPr>
    </w:p>
    <w:p w14:paraId="55C4C181" w14:textId="77777777" w:rsidR="00BF42EF" w:rsidRPr="00BF42EF" w:rsidRDefault="00BF42EF" w:rsidP="005E2D5A">
      <w:pPr>
        <w:pStyle w:val="Smlouva3"/>
        <w:rPr>
          <w:rFonts w:ascii="Tahoma" w:eastAsia="Tahoma" w:hAnsi="Tahoma" w:cs="Tahoma"/>
          <w:sz w:val="22"/>
          <w:szCs w:val="22"/>
        </w:rPr>
      </w:pPr>
    </w:p>
    <w:p w14:paraId="1F2307AE" w14:textId="58C4261C" w:rsidR="00272215" w:rsidRPr="00BF42EF" w:rsidRDefault="00BF42EF" w:rsidP="005E2D5A">
      <w:pPr>
        <w:pStyle w:val="Smlouva3"/>
        <w:rPr>
          <w:rFonts w:ascii="Tahoma" w:eastAsia="Tahoma" w:hAnsi="Tahoma" w:cs="Tahoma"/>
          <w:sz w:val="22"/>
          <w:szCs w:val="22"/>
        </w:rPr>
      </w:pPr>
      <w:r w:rsidRPr="00BF42EF">
        <w:rPr>
          <w:rFonts w:ascii="Tahoma" w:hAnsi="Tahoma" w:cs="Tahoma"/>
          <w:sz w:val="22"/>
          <w:szCs w:val="22"/>
        </w:rPr>
        <w:lastRenderedPageBreak/>
        <w:t>Tato změna se týká výhradně doplnění ustanovení vztahujících se k činnosti koordinátora BOZP</w:t>
      </w:r>
      <w:r>
        <w:rPr>
          <w:rFonts w:ascii="Tahoma" w:hAnsi="Tahoma" w:cs="Tahoma"/>
          <w:sz w:val="22"/>
          <w:szCs w:val="22"/>
        </w:rPr>
        <w:t>,</w:t>
      </w:r>
      <w:r w:rsidRPr="00BF42EF">
        <w:rPr>
          <w:rFonts w:ascii="Tahoma" w:hAnsi="Tahoma" w:cs="Tahoma"/>
          <w:sz w:val="22"/>
          <w:szCs w:val="22"/>
        </w:rPr>
        <w:t xml:space="preserve"> celková hodnota plnění příkazní smlouvy zůstává beze změny.</w:t>
      </w:r>
    </w:p>
    <w:p w14:paraId="4631E639" w14:textId="0A3A356D" w:rsidR="00272215" w:rsidRDefault="00272215" w:rsidP="005E2D5A">
      <w:pPr>
        <w:pStyle w:val="Smlouva3"/>
        <w:rPr>
          <w:rFonts w:ascii="Tahoma" w:eastAsia="Tahoma" w:hAnsi="Tahoma" w:cs="Tahoma"/>
          <w:sz w:val="22"/>
          <w:szCs w:val="22"/>
        </w:rPr>
      </w:pPr>
    </w:p>
    <w:p w14:paraId="76204FFD" w14:textId="77777777" w:rsidR="00BF42EF" w:rsidRPr="005E2D5A" w:rsidRDefault="00BF42EF" w:rsidP="005E2D5A">
      <w:pPr>
        <w:pStyle w:val="Smlouva3"/>
        <w:rPr>
          <w:rFonts w:ascii="Tahoma" w:eastAsia="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2870"/>
        <w:gridCol w:w="1388"/>
        <w:gridCol w:w="1388"/>
        <w:gridCol w:w="2996"/>
      </w:tblGrid>
      <w:tr w:rsidR="00272215" w:rsidRPr="002820E4" w14:paraId="00FE3EB5" w14:textId="77777777" w:rsidTr="00272215">
        <w:tc>
          <w:tcPr>
            <w:tcW w:w="2870" w:type="dxa"/>
          </w:tcPr>
          <w:p w14:paraId="1EC276D7" w14:textId="4571ADCB" w:rsidR="00272215" w:rsidRDefault="00272215" w:rsidP="00512A2B">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Pr>
                <w:rFonts w:ascii="Tahoma" w:hAnsi="Tahoma" w:cs="Tahoma"/>
                <w:sz w:val="22"/>
                <w:szCs w:val="22"/>
              </w:rPr>
              <w:t xml:space="preserve"> Orlové </w:t>
            </w:r>
            <w:r w:rsidRPr="002820E4">
              <w:rPr>
                <w:rFonts w:ascii="Tahoma" w:hAnsi="Tahoma" w:cs="Tahoma"/>
                <w:sz w:val="22"/>
                <w:szCs w:val="22"/>
              </w:rPr>
              <w:t>dne</w:t>
            </w:r>
            <w:r>
              <w:rPr>
                <w:rFonts w:ascii="Tahoma" w:hAnsi="Tahoma" w:cs="Tahoma"/>
                <w:sz w:val="22"/>
                <w:szCs w:val="22"/>
              </w:rPr>
              <w:t>:</w:t>
            </w:r>
            <w:r w:rsidR="00835937">
              <w:rPr>
                <w:rFonts w:ascii="Tahoma" w:hAnsi="Tahoma" w:cs="Tahoma"/>
                <w:sz w:val="22"/>
                <w:szCs w:val="22"/>
              </w:rPr>
              <w:t xml:space="preserve"> 4. 7. 2025</w:t>
            </w:r>
          </w:p>
          <w:p w14:paraId="54CE6E7C" w14:textId="77777777" w:rsidR="00272215" w:rsidRDefault="00272215" w:rsidP="00512A2B">
            <w:pPr>
              <w:pStyle w:val="Zhlav"/>
              <w:tabs>
                <w:tab w:val="clear" w:pos="4536"/>
                <w:tab w:val="clear" w:pos="9072"/>
              </w:tabs>
              <w:spacing w:before="240"/>
              <w:rPr>
                <w:rFonts w:ascii="Tahoma" w:hAnsi="Tahoma" w:cs="Tahoma"/>
                <w:sz w:val="22"/>
                <w:szCs w:val="22"/>
              </w:rPr>
            </w:pPr>
          </w:p>
          <w:p w14:paraId="2555EB3A" w14:textId="77F6DECE" w:rsidR="00BF42EF" w:rsidRPr="002820E4" w:rsidRDefault="00BF42EF" w:rsidP="00512A2B">
            <w:pPr>
              <w:pStyle w:val="Zhlav"/>
              <w:tabs>
                <w:tab w:val="clear" w:pos="4536"/>
                <w:tab w:val="clear" w:pos="9072"/>
              </w:tabs>
              <w:spacing w:before="240"/>
              <w:rPr>
                <w:rFonts w:ascii="Tahoma" w:hAnsi="Tahoma" w:cs="Tahoma"/>
                <w:sz w:val="22"/>
                <w:szCs w:val="22"/>
              </w:rPr>
            </w:pPr>
          </w:p>
        </w:tc>
        <w:tc>
          <w:tcPr>
            <w:tcW w:w="1388" w:type="dxa"/>
          </w:tcPr>
          <w:p w14:paraId="594A8166" w14:textId="77777777" w:rsidR="00272215" w:rsidRPr="002820E4" w:rsidRDefault="00272215" w:rsidP="00512A2B">
            <w:pPr>
              <w:rPr>
                <w:rFonts w:ascii="Tahoma" w:hAnsi="Tahoma" w:cs="Tahoma"/>
                <w:sz w:val="22"/>
                <w:szCs w:val="22"/>
              </w:rPr>
            </w:pPr>
          </w:p>
        </w:tc>
        <w:tc>
          <w:tcPr>
            <w:tcW w:w="1388" w:type="dxa"/>
          </w:tcPr>
          <w:p w14:paraId="6C2DD0BB" w14:textId="06E9FAE3" w:rsidR="00272215" w:rsidRPr="002820E4" w:rsidRDefault="00272215" w:rsidP="00512A2B">
            <w:pPr>
              <w:rPr>
                <w:rFonts w:ascii="Tahoma" w:hAnsi="Tahoma" w:cs="Tahoma"/>
                <w:sz w:val="22"/>
                <w:szCs w:val="22"/>
              </w:rPr>
            </w:pPr>
          </w:p>
        </w:tc>
        <w:tc>
          <w:tcPr>
            <w:tcW w:w="2996" w:type="dxa"/>
          </w:tcPr>
          <w:p w14:paraId="34AD8CC5" w14:textId="576CD530" w:rsidR="00272215" w:rsidRPr="002820E4" w:rsidRDefault="00272215" w:rsidP="00512A2B">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Pr>
                <w:rFonts w:ascii="Tahoma" w:hAnsi="Tahoma" w:cs="Tahoma"/>
                <w:sz w:val="22"/>
                <w:szCs w:val="22"/>
              </w:rPr>
              <w:t xml:space="preserve"> Karviné </w:t>
            </w:r>
            <w:r w:rsidRPr="002820E4">
              <w:rPr>
                <w:rFonts w:ascii="Tahoma" w:hAnsi="Tahoma" w:cs="Tahoma"/>
                <w:sz w:val="22"/>
                <w:szCs w:val="22"/>
              </w:rPr>
              <w:t>dne</w:t>
            </w:r>
            <w:r>
              <w:rPr>
                <w:rFonts w:ascii="Tahoma" w:hAnsi="Tahoma" w:cs="Tahoma"/>
                <w:sz w:val="22"/>
                <w:szCs w:val="22"/>
              </w:rPr>
              <w:t xml:space="preserve">: </w:t>
            </w:r>
            <w:r w:rsidR="00835937">
              <w:rPr>
                <w:rFonts w:ascii="Tahoma" w:hAnsi="Tahoma" w:cs="Tahoma"/>
                <w:sz w:val="22"/>
                <w:szCs w:val="22"/>
              </w:rPr>
              <w:t>4. 7. 2025</w:t>
            </w:r>
            <w:bookmarkStart w:id="2" w:name="_GoBack"/>
            <w:bookmarkEnd w:id="2"/>
          </w:p>
        </w:tc>
      </w:tr>
      <w:tr w:rsidR="00272215" w:rsidRPr="002820E4" w14:paraId="73C7E341" w14:textId="77777777" w:rsidTr="00272215">
        <w:trPr>
          <w:trHeight w:val="261"/>
        </w:trPr>
        <w:tc>
          <w:tcPr>
            <w:tcW w:w="2870" w:type="dxa"/>
            <w:tcBorders>
              <w:top w:val="single" w:sz="4" w:space="0" w:color="auto"/>
            </w:tcBorders>
          </w:tcPr>
          <w:p w14:paraId="34B850C4" w14:textId="77777777" w:rsidR="00272215" w:rsidRDefault="00272215" w:rsidP="00512A2B">
            <w:pPr>
              <w:jc w:val="center"/>
              <w:rPr>
                <w:rFonts w:ascii="Tahoma" w:hAnsi="Tahoma" w:cs="Tahoma"/>
                <w:sz w:val="22"/>
                <w:szCs w:val="22"/>
              </w:rPr>
            </w:pPr>
            <w:r w:rsidRPr="00D168B1">
              <w:rPr>
                <w:rFonts w:ascii="Tahoma" w:hAnsi="Tahoma" w:cs="Tahoma"/>
                <w:sz w:val="22"/>
                <w:szCs w:val="22"/>
              </w:rPr>
              <w:t>za příkazc</w:t>
            </w:r>
            <w:r>
              <w:rPr>
                <w:rFonts w:ascii="Tahoma" w:hAnsi="Tahoma" w:cs="Tahoma"/>
                <w:sz w:val="22"/>
                <w:szCs w:val="22"/>
              </w:rPr>
              <w:t>e</w:t>
            </w:r>
          </w:p>
          <w:p w14:paraId="1DFF2CB9" w14:textId="22E1960A" w:rsidR="00272215" w:rsidRPr="00C04F39" w:rsidRDefault="00272215" w:rsidP="00512A2B">
            <w:pPr>
              <w:jc w:val="center"/>
              <w:rPr>
                <w:rFonts w:ascii="Tahoma" w:hAnsi="Tahoma" w:cs="Tahoma"/>
                <w:sz w:val="22"/>
                <w:szCs w:val="22"/>
              </w:rPr>
            </w:pPr>
            <w:r w:rsidRPr="00E27FC8">
              <w:rPr>
                <w:rFonts w:ascii="Tahoma" w:hAnsi="Tahoma" w:cs="Tahoma"/>
                <w:color w:val="000000" w:themeColor="text1"/>
                <w:sz w:val="22"/>
                <w:szCs w:val="22"/>
              </w:rPr>
              <w:t>Mgr. Pa</w:t>
            </w:r>
            <w:r>
              <w:rPr>
                <w:rFonts w:ascii="Tahoma" w:hAnsi="Tahoma" w:cs="Tahoma"/>
                <w:color w:val="000000" w:themeColor="text1"/>
                <w:sz w:val="22"/>
                <w:szCs w:val="22"/>
              </w:rPr>
              <w:t>v</w:t>
            </w:r>
            <w:r w:rsidRPr="00E27FC8">
              <w:rPr>
                <w:rFonts w:ascii="Tahoma" w:hAnsi="Tahoma" w:cs="Tahoma"/>
                <w:color w:val="000000" w:themeColor="text1"/>
                <w:sz w:val="22"/>
                <w:szCs w:val="22"/>
              </w:rPr>
              <w:t xml:space="preserve">el </w:t>
            </w:r>
            <w:proofErr w:type="spellStart"/>
            <w:r w:rsidRPr="00E27FC8">
              <w:rPr>
                <w:rFonts w:ascii="Tahoma" w:hAnsi="Tahoma" w:cs="Tahoma"/>
                <w:color w:val="000000" w:themeColor="text1"/>
                <w:sz w:val="22"/>
                <w:szCs w:val="22"/>
              </w:rPr>
              <w:t>Kubínek</w:t>
            </w:r>
            <w:proofErr w:type="spellEnd"/>
            <w:r w:rsidRPr="00E27FC8">
              <w:rPr>
                <w:rFonts w:ascii="Tahoma" w:hAnsi="Tahoma" w:cs="Tahoma"/>
                <w:color w:val="000000" w:themeColor="text1"/>
                <w:sz w:val="22"/>
                <w:szCs w:val="22"/>
              </w:rPr>
              <w:t>, ředitel</w:t>
            </w:r>
            <w:r>
              <w:rPr>
                <w:rFonts w:ascii="Tahoma" w:hAnsi="Tahoma" w:cs="Tahoma"/>
                <w:color w:val="000000" w:themeColor="text1"/>
                <w:sz w:val="22"/>
                <w:szCs w:val="22"/>
              </w:rPr>
              <w:t xml:space="preserve">                                                                       </w:t>
            </w:r>
          </w:p>
        </w:tc>
        <w:tc>
          <w:tcPr>
            <w:tcW w:w="1388" w:type="dxa"/>
          </w:tcPr>
          <w:p w14:paraId="7DA5A08F" w14:textId="77777777" w:rsidR="00272215" w:rsidRPr="002820E4" w:rsidRDefault="00272215" w:rsidP="00512A2B">
            <w:pPr>
              <w:jc w:val="center"/>
              <w:rPr>
                <w:rFonts w:ascii="Tahoma" w:hAnsi="Tahoma" w:cs="Tahoma"/>
                <w:sz w:val="22"/>
                <w:szCs w:val="22"/>
              </w:rPr>
            </w:pPr>
          </w:p>
        </w:tc>
        <w:tc>
          <w:tcPr>
            <w:tcW w:w="1388" w:type="dxa"/>
            <w:vAlign w:val="center"/>
          </w:tcPr>
          <w:p w14:paraId="6163790E" w14:textId="1A5302F8" w:rsidR="00272215" w:rsidRPr="002820E4" w:rsidRDefault="00272215" w:rsidP="00512A2B">
            <w:pPr>
              <w:jc w:val="center"/>
              <w:rPr>
                <w:rFonts w:ascii="Tahoma" w:hAnsi="Tahoma" w:cs="Tahoma"/>
                <w:sz w:val="22"/>
                <w:szCs w:val="22"/>
              </w:rPr>
            </w:pPr>
          </w:p>
        </w:tc>
        <w:tc>
          <w:tcPr>
            <w:tcW w:w="2996" w:type="dxa"/>
            <w:tcBorders>
              <w:top w:val="single" w:sz="4" w:space="0" w:color="auto"/>
            </w:tcBorders>
          </w:tcPr>
          <w:p w14:paraId="4027E6FD" w14:textId="77777777" w:rsidR="00272215" w:rsidRPr="00C04F39" w:rsidRDefault="00272215" w:rsidP="00512A2B">
            <w:pPr>
              <w:jc w:val="center"/>
              <w:rPr>
                <w:rFonts w:ascii="Tahoma" w:hAnsi="Tahoma" w:cs="Tahoma"/>
                <w:sz w:val="22"/>
                <w:szCs w:val="22"/>
              </w:rPr>
            </w:pPr>
            <w:r w:rsidRPr="002820E4">
              <w:rPr>
                <w:rFonts w:ascii="Tahoma" w:hAnsi="Tahoma" w:cs="Tahoma"/>
                <w:sz w:val="22"/>
                <w:szCs w:val="22"/>
              </w:rPr>
              <w:t>za příkazníka</w:t>
            </w:r>
          </w:p>
          <w:p w14:paraId="55D5526C" w14:textId="77777777" w:rsidR="00272215" w:rsidRPr="00E27FC8" w:rsidRDefault="00272215" w:rsidP="00512A2B">
            <w:pPr>
              <w:jc w:val="center"/>
              <w:rPr>
                <w:rFonts w:ascii="Tahoma" w:hAnsi="Tahoma" w:cs="Tahoma"/>
                <w:sz w:val="22"/>
                <w:szCs w:val="22"/>
              </w:rPr>
            </w:pPr>
            <w:r w:rsidRPr="00A03CBC">
              <w:rPr>
                <w:rFonts w:ascii="Tahoma" w:hAnsi="Tahoma" w:cs="Tahoma"/>
                <w:color w:val="000000" w:themeColor="text1"/>
                <w:sz w:val="22"/>
                <w:szCs w:val="22"/>
              </w:rPr>
              <w:t xml:space="preserve">Ing. Martin </w:t>
            </w:r>
            <w:proofErr w:type="spellStart"/>
            <w:r w:rsidRPr="00A03CBC">
              <w:rPr>
                <w:rFonts w:ascii="Tahoma" w:hAnsi="Tahoma" w:cs="Tahoma"/>
                <w:color w:val="000000" w:themeColor="text1"/>
                <w:sz w:val="22"/>
                <w:szCs w:val="22"/>
              </w:rPr>
              <w:t>Pasz</w:t>
            </w:r>
            <w:proofErr w:type="spellEnd"/>
            <w:r>
              <w:rPr>
                <w:rFonts w:ascii="Tahoma" w:hAnsi="Tahoma" w:cs="Tahoma"/>
                <w:color w:val="000000" w:themeColor="text1"/>
                <w:sz w:val="22"/>
                <w:szCs w:val="22"/>
              </w:rPr>
              <w:t>, jednatel</w:t>
            </w:r>
          </w:p>
        </w:tc>
      </w:tr>
    </w:tbl>
    <w:p w14:paraId="5400203C" w14:textId="77777777" w:rsidR="00717869" w:rsidRPr="007A18FE" w:rsidRDefault="00717869"/>
    <w:sectPr w:rsidR="00717869" w:rsidRPr="007A1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4A46DF"/>
    <w:multiLevelType w:val="hybridMultilevel"/>
    <w:tmpl w:val="17CC2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B16294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31171C1"/>
    <w:multiLevelType w:val="hybridMultilevel"/>
    <w:tmpl w:val="771CF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7" w15:restartNumberingAfterBreak="0">
    <w:nsid w:val="79D9420A"/>
    <w:multiLevelType w:val="hybridMultilevel"/>
    <w:tmpl w:val="7758F5B0"/>
    <w:lvl w:ilvl="0" w:tplc="0F3CECFA">
      <w:start w:val="1"/>
      <w:numFmt w:val="bullet"/>
      <w:lvlText w:val=""/>
      <w:lvlJc w:val="left"/>
      <w:pPr>
        <w:tabs>
          <w:tab w:val="num" w:pos="-212"/>
        </w:tabs>
        <w:ind w:left="-212" w:hanging="360"/>
      </w:pPr>
      <w:rPr>
        <w:rFonts w:ascii="Symbol" w:hAnsi="Symbol" w:hint="default"/>
        <w:color w:val="auto"/>
      </w:rPr>
    </w:lvl>
    <w:lvl w:ilvl="1" w:tplc="04050019">
      <w:start w:val="1"/>
      <w:numFmt w:val="decimal"/>
      <w:lvlText w:val="%2."/>
      <w:lvlJc w:val="left"/>
      <w:pPr>
        <w:tabs>
          <w:tab w:val="num" w:pos="868"/>
        </w:tabs>
        <w:ind w:left="868" w:hanging="360"/>
      </w:pPr>
    </w:lvl>
    <w:lvl w:ilvl="2" w:tplc="0405001B">
      <w:start w:val="1"/>
      <w:numFmt w:val="decimal"/>
      <w:lvlText w:val="%3."/>
      <w:lvlJc w:val="left"/>
      <w:pPr>
        <w:tabs>
          <w:tab w:val="num" w:pos="1588"/>
        </w:tabs>
        <w:ind w:left="1588" w:hanging="360"/>
      </w:pPr>
    </w:lvl>
    <w:lvl w:ilvl="3" w:tplc="0405000F">
      <w:start w:val="1"/>
      <w:numFmt w:val="decimal"/>
      <w:lvlText w:val="%4."/>
      <w:lvlJc w:val="left"/>
      <w:pPr>
        <w:tabs>
          <w:tab w:val="num" w:pos="2308"/>
        </w:tabs>
        <w:ind w:left="2308" w:hanging="360"/>
      </w:pPr>
    </w:lvl>
    <w:lvl w:ilvl="4" w:tplc="04050019">
      <w:start w:val="1"/>
      <w:numFmt w:val="decimal"/>
      <w:lvlText w:val="%5."/>
      <w:lvlJc w:val="left"/>
      <w:pPr>
        <w:tabs>
          <w:tab w:val="num" w:pos="3028"/>
        </w:tabs>
        <w:ind w:left="3028" w:hanging="360"/>
      </w:pPr>
    </w:lvl>
    <w:lvl w:ilvl="5" w:tplc="0405001B">
      <w:start w:val="1"/>
      <w:numFmt w:val="decimal"/>
      <w:lvlText w:val="%6."/>
      <w:lvlJc w:val="left"/>
      <w:pPr>
        <w:tabs>
          <w:tab w:val="num" w:pos="3748"/>
        </w:tabs>
        <w:ind w:left="3748" w:hanging="360"/>
      </w:pPr>
    </w:lvl>
    <w:lvl w:ilvl="6" w:tplc="0405000F">
      <w:start w:val="1"/>
      <w:numFmt w:val="decimal"/>
      <w:lvlText w:val="%7."/>
      <w:lvlJc w:val="left"/>
      <w:pPr>
        <w:tabs>
          <w:tab w:val="num" w:pos="4468"/>
        </w:tabs>
        <w:ind w:left="4468" w:hanging="360"/>
      </w:pPr>
    </w:lvl>
    <w:lvl w:ilvl="7" w:tplc="04050019">
      <w:start w:val="1"/>
      <w:numFmt w:val="decimal"/>
      <w:lvlText w:val="%8."/>
      <w:lvlJc w:val="left"/>
      <w:pPr>
        <w:tabs>
          <w:tab w:val="num" w:pos="5188"/>
        </w:tabs>
        <w:ind w:left="5188" w:hanging="360"/>
      </w:pPr>
    </w:lvl>
    <w:lvl w:ilvl="8" w:tplc="0405001B">
      <w:start w:val="1"/>
      <w:numFmt w:val="decimal"/>
      <w:lvlText w:val="%9."/>
      <w:lvlJc w:val="left"/>
      <w:pPr>
        <w:tabs>
          <w:tab w:val="num" w:pos="5908"/>
        </w:tabs>
        <w:ind w:left="5908" w:hanging="360"/>
      </w:pPr>
    </w:lvl>
  </w:abstractNum>
  <w:abstractNum w:abstractNumId="8" w15:restartNumberingAfterBreak="0">
    <w:nsid w:val="7DB313CF"/>
    <w:multiLevelType w:val="hybridMultilevel"/>
    <w:tmpl w:val="73726B24"/>
    <w:lvl w:ilvl="0" w:tplc="04050011">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1"/>
  </w:num>
  <w:num w:numId="5">
    <w:abstractNumId w:val="5"/>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EA"/>
    <w:rsid w:val="00173DA4"/>
    <w:rsid w:val="001C7930"/>
    <w:rsid w:val="00272215"/>
    <w:rsid w:val="002A4177"/>
    <w:rsid w:val="00345487"/>
    <w:rsid w:val="00427C89"/>
    <w:rsid w:val="0044584D"/>
    <w:rsid w:val="004534EA"/>
    <w:rsid w:val="005B0C10"/>
    <w:rsid w:val="005E2D5A"/>
    <w:rsid w:val="00602FB4"/>
    <w:rsid w:val="00647DA8"/>
    <w:rsid w:val="006B2FED"/>
    <w:rsid w:val="00717869"/>
    <w:rsid w:val="007A18FE"/>
    <w:rsid w:val="00835937"/>
    <w:rsid w:val="00842AE9"/>
    <w:rsid w:val="00963059"/>
    <w:rsid w:val="00BF40D7"/>
    <w:rsid w:val="00BF42EF"/>
    <w:rsid w:val="00D62DA1"/>
    <w:rsid w:val="00E06820"/>
    <w:rsid w:val="00E10578"/>
    <w:rsid w:val="00E20146"/>
    <w:rsid w:val="00EA3651"/>
    <w:rsid w:val="00EE4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F973"/>
  <w15:chartTrackingRefBased/>
  <w15:docId w15:val="{155B0DDC-C815-4CE1-B2F5-80258A0C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A18F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17869"/>
    <w:pPr>
      <w:tabs>
        <w:tab w:val="center" w:pos="4536"/>
        <w:tab w:val="right" w:pos="9072"/>
      </w:tabs>
    </w:pPr>
  </w:style>
  <w:style w:type="character" w:customStyle="1" w:styleId="ZhlavChar">
    <w:name w:val="Záhlaví Char"/>
    <w:basedOn w:val="Standardnpsmoodstavce"/>
    <w:link w:val="Zhlav"/>
    <w:rsid w:val="0071786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47DA8"/>
    <w:pPr>
      <w:ind w:left="720"/>
      <w:contextualSpacing/>
    </w:pPr>
  </w:style>
  <w:style w:type="paragraph" w:customStyle="1" w:styleId="Smlouva3">
    <w:name w:val="Smlouva3"/>
    <w:basedOn w:val="Normln"/>
    <w:rsid w:val="00BF40D7"/>
    <w:pPr>
      <w:spacing w:before="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847</Words>
  <Characters>4999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Turková Veronika</dc:creator>
  <cp:keywords/>
  <dc:description/>
  <cp:lastModifiedBy>Krzystková Drahomíra</cp:lastModifiedBy>
  <cp:revision>13</cp:revision>
  <dcterms:created xsi:type="dcterms:W3CDTF">2025-07-22T06:43:00Z</dcterms:created>
  <dcterms:modified xsi:type="dcterms:W3CDTF">2025-07-23T06:32:00Z</dcterms:modified>
</cp:coreProperties>
</file>