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1682750" cy="2101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27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Příloha č. 3 SOD č. 724/2025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1.pt;width:132.5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3 SOD č. 724/2025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844550</wp:posOffset>
                </wp:positionV>
                <wp:extent cx="685800" cy="46355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5800" cy="463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Zakázka: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5.550000000000004pt;margin-top:66.5pt;width:54.pt;height:36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Zakázka: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0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8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“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VD Habrovany - rekonstrukce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8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[Nowastav akciová společnost, Malešická 49, 130 00 Praha 3; IČ00565679], za kterého jedná [ předseda představenstva] (dále jen „dodavatel“), tímto čestně prohlašuje, 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7" w:val="left"/>
        </w:tabs>
        <w:bidi w:val="0"/>
        <w:spacing w:before="0" w:after="0" w:line="240" w:lineRule="auto"/>
        <w:ind w:left="0" w:right="0" w:firstLine="5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70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35" w:val="left"/>
          <w:tab w:pos="5213" w:val="left"/>
          <w:tab w:pos="8822" w:val="left"/>
        </w:tabs>
        <w:bidi w:val="0"/>
        <w:spacing w:before="0" w:after="0" w:line="36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Jméno:</w:t>
        <w:tab/>
        <w:t>předseda představenstva</w:t>
        <w:tab/>
        <w:t xml:space="preserve">Podpis: </w:t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66" w:val="left"/>
          <w:tab w:pos="7382" w:val="left"/>
        </w:tabs>
        <w:bidi w:val="0"/>
        <w:spacing w:before="0" w:after="340" w:line="360" w:lineRule="auto"/>
        <w:ind w:left="0" w:right="0" w:firstLine="0"/>
        <w:jc w:val="center"/>
        <w:rPr>
          <w:sz w:val="22"/>
          <w:szCs w:val="22"/>
        </w:rPr>
      </w:pPr>
      <w:r>
        <w:rPr>
          <w:sz w:val="20"/>
          <w:szCs w:val="20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</w:t>
      </w:r>
      <w:r>
        <w:rPr>
          <w:sz w:val="20"/>
          <w:szCs w:val="20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br/>
        <w:t>(osoba nebo osoby řádně pověřené podepsat čestné prohlášení)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35" w:val="left"/>
          <w:tab w:pos="4306" w:val="left"/>
        </w:tabs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  <w:tab/>
      </w:r>
      <w:r>
        <w:rPr>
          <w:sz w:val="20"/>
          <w:szCs w:val="20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Razítko: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24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Digitálně podepsal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524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 2025.06.16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360" w:lineRule="auto"/>
        <w:ind w:left="524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08:16:30 +02´00´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29" w:left="1111" w:right="1106" w:bottom="1229" w:header="801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20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