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6331" w:h="2203" w:wrap="none" w:hAnchor="page" w:x="55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SOD č. 514/2025</w:t>
      </w:r>
    </w:p>
    <w:p>
      <w:pPr>
        <w:pStyle w:val="Style5"/>
        <w:keepNext w:val="0"/>
        <w:keepLines w:val="0"/>
        <w:framePr w:w="6331" w:h="2203" w:wrap="none" w:hAnchor="page" w:x="553" w:y="1"/>
        <w:widowControl w:val="0"/>
        <w:shd w:val="clear" w:color="auto" w:fill="auto"/>
        <w:bidi w:val="0"/>
        <w:spacing w:before="0" w:after="100" w:line="20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</w:p>
    <w:p>
      <w:pPr>
        <w:pStyle w:val="Style5"/>
        <w:keepNext w:val="0"/>
        <w:keepLines w:val="0"/>
        <w:framePr w:w="6331" w:h="2203" w:wrap="none" w:hAnchor="page" w:x="553" w:y="1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MVE Kadaň - výměna VN kabelů</w:t>
      </w:r>
    </w:p>
    <w:p>
      <w:pPr>
        <w:pStyle w:val="Style5"/>
        <w:keepNext w:val="0"/>
        <w:keepLines w:val="0"/>
        <w:framePr w:w="6331" w:h="2203" w:wrap="none" w:hAnchor="page" w:x="553" w:y="1"/>
        <w:widowControl w:val="0"/>
        <w:shd w:val="clear" w:color="auto" w:fill="auto"/>
        <w:bidi w:val="0"/>
        <w:spacing w:before="0" w:line="240" w:lineRule="auto"/>
        <w:ind w:left="168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Investor 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framePr w:w="2299" w:h="595" w:wrap="none" w:hAnchor="page" w:x="1921" w:y="2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Vypracoval :</w:t>
      </w:r>
    </w:p>
    <w:p>
      <w:pPr>
        <w:pStyle w:val="Style2"/>
        <w:keepNext w:val="0"/>
        <w:keepLines w:val="0"/>
        <w:framePr w:w="2299" w:h="595" w:wrap="none" w:hAnchor="page" w:x="1921" w:y="2895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: 29.04.2025</w:t>
      </w:r>
    </w:p>
    <w:tbl>
      <w:tblPr>
        <w:tblOverlap w:val="never"/>
        <w:jc w:val="left"/>
        <w:tblLayout w:type="fixed"/>
      </w:tblPr>
      <w:tblGrid>
        <w:gridCol w:w="1022"/>
        <w:gridCol w:w="8261"/>
        <w:gridCol w:w="1445"/>
        <w:gridCol w:w="1349"/>
        <w:gridCol w:w="1680"/>
        <w:gridCol w:w="1277"/>
      </w:tblGrid>
      <w:tr>
        <w:trPr>
          <w:trHeight w:val="250" w:hRule="exact"/>
        </w:trPr>
        <w:tc>
          <w:tcPr>
            <w:tcBorders/>
            <w:shd w:val="clear" w:color="auto" w:fill="95B3D7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95B3D7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95B3D7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95B3D7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95B3D7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95B3D7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95B3D7"/>
            <w:vAlign w:val="top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95B3D7"/>
            <w:vAlign w:val="top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 o p i s</w:t>
            </w:r>
          </w:p>
        </w:tc>
        <w:tc>
          <w:tcPr>
            <w:tcBorders/>
            <w:shd w:val="clear" w:color="auto" w:fill="95B3D7"/>
            <w:vAlign w:val="top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/>
            <w:shd w:val="clear" w:color="auto" w:fill="95B3D7"/>
            <w:vAlign w:val="top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95B3D7"/>
            <w:vAlign w:val="top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/>
            <w:shd w:val="clear" w:color="auto" w:fill="95B3D7"/>
            <w:vAlign w:val="top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Dodávky</w:t>
            </w: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515 793,32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 BITFLEX (N)TMCGCWOEU UL 12/20KV 1x95/16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337 500,00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Koncovky BITFLEX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66 000,00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Kabel. příchytky 2x3K131 + 1x132 + mont. deska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50 000,00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Šrouby M10x 140 + matice, podložky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3 200,00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Ochranná manžeta - trubice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Podružný materiál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55 093,32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55 093,32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Montážní práce</w:t>
            </w: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116 250,00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opatření vyplývajících z potřeb plnění opatření dle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stávajícího kabelového zárkytu a stávajících kabelů CHBU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31 250,00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Přípravné práce pro montáž nových kabelů BITFLEX (N)TMCGCWOEU UL 12/20KV 1x95/16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6 250,00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nových kabelů BITFLEX (N)TMCGCWOEU UL 12/20KV 1x95/16 a kabelového zárkytu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68 750,00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B8CCE4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256 200,18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revizní zprávy a měření izolačních stavu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65 422,25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65 422,25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(2 vozidla) + 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24 725,00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dokumentace skutečného provedení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58 000,00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Ekologická likvidace kabelů CHBU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sada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10 492,93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10 492,93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Technické a projektové 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kompl.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97 560,00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97 560,00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91D14E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91D14E"/>
            <w:vAlign w:val="top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Celkový součet:</w:t>
            </w:r>
          </w:p>
        </w:tc>
        <w:tc>
          <w:tcPr>
            <w:tcBorders/>
            <w:shd w:val="clear" w:color="auto" w:fill="91D14E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91D14E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91D14E"/>
            <w:vAlign w:val="top"/>
          </w:tcPr>
          <w:p>
            <w:pPr>
              <w:framePr w:w="15034" w:h="5770" w:wrap="none" w:hAnchor="page" w:x="1902" w:y="3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91D14E"/>
            <w:vAlign w:val="top"/>
          </w:tcPr>
          <w:p>
            <w:pPr>
              <w:pStyle w:val="Style8"/>
              <w:keepNext w:val="0"/>
              <w:keepLines w:val="0"/>
              <w:framePr w:w="15034" w:h="5770" w:wrap="none" w:hAnchor="page" w:x="1902" w:y="3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888 243,50</w:t>
            </w:r>
          </w:p>
        </w:tc>
      </w:tr>
    </w:tbl>
    <w:p>
      <w:pPr>
        <w:framePr w:w="15034" w:h="5770" w:wrap="none" w:hAnchor="page" w:x="1902" w:y="359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0</wp:posOffset>
            </wp:positionV>
            <wp:extent cx="27305" cy="27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890270</wp:posOffset>
            </wp:positionH>
            <wp:positionV relativeFrom="margin">
              <wp:posOffset>2292350</wp:posOffset>
            </wp:positionV>
            <wp:extent cx="9884410" cy="363918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884410" cy="3639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</w:pPr>
    </w:p>
    <w:sectPr>
      <w:footerReference w:type="default" r:id="rId9"/>
      <w:footnotePr>
        <w:pos w:val="pageBottom"/>
        <w:numFmt w:val="decimal"/>
        <w:numRestart w:val="continuous"/>
      </w:footnotePr>
      <w:pgSz w:w="17899" w:h="12638" w:orient="landscape"/>
      <w:pgMar w:top="0" w:left="0" w:right="931" w:bottom="30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5650865</wp:posOffset>
              </wp:positionH>
              <wp:positionV relativeFrom="page">
                <wp:posOffset>7766050</wp:posOffset>
              </wp:positionV>
              <wp:extent cx="69850" cy="1739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4.94999999999999pt;margin-top:611.5pt;width:5.5pt;height:13.7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ind w:firstLine="23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6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ind w:firstLine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