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31321" w14:textId="77777777" w:rsidR="0038325E" w:rsidRDefault="0038325E" w:rsidP="0038325E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SMLOUVA O POSKYTOVÁNÍ PRÁVNÍCH SLUŽEB</w:t>
      </w:r>
    </w:p>
    <w:p w14:paraId="145C73AD" w14:textId="77777777" w:rsidR="001A2CD4" w:rsidRDefault="001A2CD4" w:rsidP="001A2CD4">
      <w:pPr>
        <w:jc w:val="center"/>
        <w:rPr>
          <w:b/>
          <w:bCs/>
          <w:sz w:val="32"/>
          <w:szCs w:val="32"/>
        </w:rPr>
      </w:pPr>
    </w:p>
    <w:p w14:paraId="1010A25F" w14:textId="0E4F5429" w:rsidR="001A2CD4" w:rsidRPr="001A2CD4" w:rsidRDefault="001A2CD4" w:rsidP="001A2CD4">
      <w:pPr>
        <w:jc w:val="center"/>
        <w:rPr>
          <w:b/>
          <w:bCs/>
          <w:sz w:val="32"/>
          <w:szCs w:val="32"/>
        </w:rPr>
      </w:pPr>
      <w:r w:rsidRPr="001A2CD4">
        <w:rPr>
          <w:b/>
          <w:bCs/>
          <w:sz w:val="32"/>
          <w:szCs w:val="32"/>
        </w:rPr>
        <w:t>MUZ/194/2025</w:t>
      </w:r>
    </w:p>
    <w:p w14:paraId="5B41B646" w14:textId="77777777" w:rsidR="0038325E" w:rsidRPr="008606BE" w:rsidRDefault="0038325E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02FA7ABE" w14:textId="77777777" w:rsidR="0038325E" w:rsidRPr="008606BE" w:rsidRDefault="0038325E" w:rsidP="0038325E">
      <w:pPr>
        <w:pStyle w:val="Firma"/>
        <w:spacing w:line="360" w:lineRule="auto"/>
        <w:rPr>
          <w:rFonts w:ascii="Arial" w:hAnsi="Arial" w:cs="Arial"/>
          <w:b w:val="0"/>
          <w:sz w:val="22"/>
          <w:szCs w:val="22"/>
        </w:rPr>
      </w:pPr>
    </w:p>
    <w:p w14:paraId="5E43804C" w14:textId="77777777" w:rsidR="0038325E" w:rsidRPr="008606BE" w:rsidRDefault="0038325E" w:rsidP="0038325E">
      <w:pPr>
        <w:pStyle w:val="Firma"/>
        <w:spacing w:line="360" w:lineRule="auto"/>
        <w:jc w:val="center"/>
        <w:rPr>
          <w:rFonts w:ascii="Arial" w:hAnsi="Arial" w:cs="Arial"/>
          <w:b w:val="0"/>
          <w:sz w:val="22"/>
          <w:szCs w:val="22"/>
        </w:rPr>
      </w:pPr>
      <w:r w:rsidRPr="008606BE">
        <w:rPr>
          <w:rFonts w:ascii="Arial" w:hAnsi="Arial" w:cs="Arial"/>
          <w:b w:val="0"/>
          <w:noProof/>
          <w:sz w:val="22"/>
          <w:szCs w:val="22"/>
        </w:rPr>
        <w:drawing>
          <wp:inline distT="0" distB="0" distL="0" distR="0" wp14:anchorId="0A3FA275" wp14:editId="46482BDC">
            <wp:extent cx="2305050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C312" w14:textId="77777777" w:rsidR="0038325E" w:rsidRPr="008606BE" w:rsidRDefault="0038325E" w:rsidP="0038325E">
      <w:pPr>
        <w:pStyle w:val="Zkladntext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55163C0" w14:textId="77777777" w:rsidR="0038325E" w:rsidRPr="008606BE" w:rsidRDefault="0038325E" w:rsidP="0038325E">
      <w:pPr>
        <w:pStyle w:val="Zkladntext"/>
        <w:spacing w:line="360" w:lineRule="auto"/>
        <w:rPr>
          <w:rFonts w:ascii="Arial" w:hAnsi="Arial" w:cs="Arial"/>
          <w:bCs/>
          <w:sz w:val="22"/>
          <w:szCs w:val="22"/>
        </w:rPr>
      </w:pPr>
      <w:r w:rsidRPr="008606BE">
        <w:rPr>
          <w:rFonts w:ascii="Arial" w:hAnsi="Arial" w:cs="Arial"/>
          <w:bCs/>
          <w:sz w:val="22"/>
          <w:szCs w:val="22"/>
        </w:rPr>
        <w:t>ŠENKÝŘ PÁNIK, advokátní kancelář s.r.o.</w:t>
      </w:r>
    </w:p>
    <w:p w14:paraId="7E6CB143" w14:textId="6B7B6D4C" w:rsidR="0038325E" w:rsidRPr="008606BE" w:rsidRDefault="0038325E" w:rsidP="0038325E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8606BE">
        <w:rPr>
          <w:rFonts w:ascii="Arial" w:hAnsi="Arial" w:cs="Arial"/>
          <w:b w:val="0"/>
          <w:sz w:val="22"/>
          <w:szCs w:val="22"/>
        </w:rPr>
        <w:t xml:space="preserve">se sídlem Na Viničních horách 1834/24, 160 </w:t>
      </w:r>
      <w:r w:rsidR="001A2CD4" w:rsidRPr="008606BE">
        <w:rPr>
          <w:rFonts w:ascii="Arial" w:hAnsi="Arial" w:cs="Arial"/>
          <w:b w:val="0"/>
          <w:sz w:val="22"/>
          <w:szCs w:val="22"/>
        </w:rPr>
        <w:t>00 Praha</w:t>
      </w:r>
      <w:r w:rsidRPr="008606BE">
        <w:rPr>
          <w:rFonts w:ascii="Arial" w:hAnsi="Arial" w:cs="Arial"/>
          <w:b w:val="0"/>
          <w:sz w:val="22"/>
          <w:szCs w:val="22"/>
        </w:rPr>
        <w:t xml:space="preserve"> 6 </w:t>
      </w:r>
    </w:p>
    <w:p w14:paraId="2AD9427D" w14:textId="77777777" w:rsidR="0038325E" w:rsidRPr="008606BE" w:rsidRDefault="0038325E" w:rsidP="0038325E">
      <w:pPr>
        <w:pStyle w:val="Zkladntext"/>
        <w:spacing w:line="360" w:lineRule="auto"/>
        <w:rPr>
          <w:rStyle w:val="Siln"/>
          <w:rFonts w:ascii="Arial" w:hAnsi="Arial" w:cs="Arial"/>
          <w:sz w:val="22"/>
          <w:szCs w:val="22"/>
        </w:rPr>
      </w:pPr>
      <w:r w:rsidRPr="008606BE">
        <w:rPr>
          <w:rStyle w:val="Siln"/>
          <w:rFonts w:ascii="Arial" w:hAnsi="Arial" w:cs="Arial"/>
          <w:sz w:val="22"/>
          <w:szCs w:val="22"/>
        </w:rPr>
        <w:t>IČ: 24722197</w:t>
      </w:r>
    </w:p>
    <w:p w14:paraId="6BD885A8" w14:textId="77777777" w:rsidR="0038325E" w:rsidRPr="008606BE" w:rsidRDefault="001F1B68" w:rsidP="0038325E">
      <w:pPr>
        <w:pStyle w:val="Zkladntext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8606BE">
        <w:rPr>
          <w:rFonts w:ascii="Arial" w:hAnsi="Arial" w:cs="Arial"/>
          <w:b w:val="0"/>
          <w:bCs/>
          <w:sz w:val="22"/>
          <w:szCs w:val="22"/>
        </w:rPr>
        <w:t>zastoupená</w:t>
      </w:r>
      <w:r w:rsidR="0038325E" w:rsidRPr="008606BE">
        <w:rPr>
          <w:rFonts w:ascii="Arial" w:hAnsi="Arial" w:cs="Arial"/>
          <w:b w:val="0"/>
          <w:bCs/>
          <w:sz w:val="22"/>
          <w:szCs w:val="22"/>
        </w:rPr>
        <w:t xml:space="preserve"> JUDr. Martinem Šenkýřem,</w:t>
      </w:r>
      <w:r w:rsidR="0038325E" w:rsidRPr="008606BE">
        <w:rPr>
          <w:rFonts w:ascii="Arial" w:hAnsi="Arial" w:cs="Arial"/>
          <w:b w:val="0"/>
          <w:sz w:val="22"/>
          <w:szCs w:val="22"/>
        </w:rPr>
        <w:t xml:space="preserve"> jednatelem, </w:t>
      </w:r>
    </w:p>
    <w:p w14:paraId="6C8C6C79" w14:textId="77777777" w:rsidR="0038325E" w:rsidRPr="008606BE" w:rsidRDefault="0038325E" w:rsidP="0038325E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22A5444" w14:textId="77777777" w:rsidR="0038325E" w:rsidRPr="008606BE" w:rsidRDefault="0038325E" w:rsidP="003832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dále jen „Advokát“ na straně jedné</w:t>
      </w:r>
    </w:p>
    <w:p w14:paraId="0CEFADB7" w14:textId="77777777" w:rsidR="0038325E" w:rsidRPr="008606BE" w:rsidRDefault="0038325E" w:rsidP="0038325E">
      <w:pPr>
        <w:pStyle w:val="Firm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1E8065E" w14:textId="77777777" w:rsidR="0038325E" w:rsidRPr="008606BE" w:rsidRDefault="0038325E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1D492987" w14:textId="77777777" w:rsidR="0038325E" w:rsidRPr="008606BE" w:rsidRDefault="0038325E" w:rsidP="0038325E">
      <w:pPr>
        <w:pStyle w:val="zkltextcentr12"/>
        <w:tabs>
          <w:tab w:val="clear" w:pos="0"/>
          <w:tab w:val="clear" w:pos="284"/>
          <w:tab w:val="clear" w:pos="1701"/>
        </w:tabs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a</w:t>
      </w:r>
    </w:p>
    <w:p w14:paraId="1ACAF0AB" w14:textId="77777777" w:rsidR="0038325E" w:rsidRPr="009565D4" w:rsidRDefault="0038325E" w:rsidP="0038325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F2DC48" w14:textId="77777777" w:rsidR="003D6381" w:rsidRDefault="003D6381" w:rsidP="003D6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64775">
        <w:rPr>
          <w:rFonts w:ascii="Arial" w:hAnsi="Arial" w:cs="Arial"/>
          <w:b/>
          <w:sz w:val="22"/>
          <w:szCs w:val="22"/>
        </w:rPr>
        <w:t>Muzeum hlavního města Prahy</w:t>
      </w:r>
    </w:p>
    <w:p w14:paraId="62F99EFB" w14:textId="77777777" w:rsidR="003D6381" w:rsidRDefault="003D6381" w:rsidP="003D6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60F9">
        <w:rPr>
          <w:rFonts w:ascii="Arial" w:hAnsi="Arial" w:cs="Arial"/>
          <w:bCs/>
          <w:sz w:val="22"/>
          <w:szCs w:val="22"/>
        </w:rPr>
        <w:t>příspěvková organizace</w:t>
      </w:r>
    </w:p>
    <w:p w14:paraId="1D54E172" w14:textId="77777777" w:rsidR="003D6381" w:rsidRDefault="003D6381" w:rsidP="003D6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521F1">
        <w:rPr>
          <w:rFonts w:ascii="Arial" w:hAnsi="Arial" w:cs="Arial"/>
          <w:sz w:val="22"/>
          <w:szCs w:val="22"/>
        </w:rPr>
        <w:t xml:space="preserve">e sídlem: </w:t>
      </w:r>
      <w:r>
        <w:rPr>
          <w:rFonts w:ascii="Arial" w:hAnsi="Arial" w:cs="Arial"/>
          <w:sz w:val="22"/>
          <w:szCs w:val="22"/>
        </w:rPr>
        <w:t>Kožná</w:t>
      </w:r>
      <w:r w:rsidRPr="00B64775">
        <w:rPr>
          <w:rFonts w:ascii="Arial" w:hAnsi="Arial" w:cs="Arial"/>
          <w:sz w:val="22"/>
          <w:szCs w:val="22"/>
        </w:rPr>
        <w:t xml:space="preserve"> 1/475, 110 01 Praha</w:t>
      </w:r>
    </w:p>
    <w:p w14:paraId="5C599938" w14:textId="77777777" w:rsidR="003D6381" w:rsidRPr="002521F1" w:rsidRDefault="003D6381" w:rsidP="003D63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B64775">
        <w:rPr>
          <w:rFonts w:ascii="Arial" w:hAnsi="Arial" w:cs="Arial"/>
          <w:sz w:val="22"/>
          <w:szCs w:val="22"/>
        </w:rPr>
        <w:t>00064432</w:t>
      </w:r>
    </w:p>
    <w:p w14:paraId="7457EC22" w14:textId="77777777" w:rsidR="003D6381" w:rsidRPr="002521F1" w:rsidRDefault="003D6381" w:rsidP="003D638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platne1"/>
          <w:rFonts w:ascii="Arial" w:hAnsi="Arial" w:cs="Arial"/>
          <w:sz w:val="22"/>
          <w:szCs w:val="22"/>
        </w:rPr>
        <w:t xml:space="preserve">zastoupena </w:t>
      </w:r>
      <w:r w:rsidRPr="00364C1C">
        <w:rPr>
          <w:rStyle w:val="platne1"/>
          <w:rFonts w:ascii="Arial" w:hAnsi="Arial" w:cs="Arial"/>
          <w:sz w:val="22"/>
          <w:szCs w:val="22"/>
        </w:rPr>
        <w:t>RNDr. Ing. Iv</w:t>
      </w:r>
      <w:r>
        <w:rPr>
          <w:rStyle w:val="platne1"/>
          <w:rFonts w:ascii="Arial" w:hAnsi="Arial" w:cs="Arial"/>
          <w:sz w:val="22"/>
          <w:szCs w:val="22"/>
        </w:rPr>
        <w:t>em</w:t>
      </w:r>
      <w:r w:rsidRPr="00364C1C">
        <w:rPr>
          <w:rStyle w:val="platne1"/>
          <w:rFonts w:ascii="Arial" w:hAnsi="Arial" w:cs="Arial"/>
          <w:sz w:val="22"/>
          <w:szCs w:val="22"/>
        </w:rPr>
        <w:t xml:space="preserve"> Mack</w:t>
      </w:r>
      <w:r>
        <w:rPr>
          <w:rStyle w:val="platne1"/>
          <w:rFonts w:ascii="Arial" w:hAnsi="Arial" w:cs="Arial"/>
          <w:sz w:val="22"/>
          <w:szCs w:val="22"/>
        </w:rPr>
        <w:t>em, statutárním zástupcem</w:t>
      </w:r>
    </w:p>
    <w:p w14:paraId="07CDF186" w14:textId="77777777" w:rsidR="0038325E" w:rsidRPr="009565D4" w:rsidRDefault="0038325E" w:rsidP="003832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65D4">
        <w:rPr>
          <w:rFonts w:ascii="Arial" w:hAnsi="Arial" w:cs="Arial"/>
          <w:sz w:val="22"/>
          <w:szCs w:val="22"/>
        </w:rPr>
        <w:t>dále jen „Klient“ na straně druhé</w:t>
      </w:r>
    </w:p>
    <w:p w14:paraId="02B75CBA" w14:textId="77777777" w:rsidR="0038325E" w:rsidRPr="009565D4" w:rsidRDefault="0038325E" w:rsidP="0038325E">
      <w:pPr>
        <w:pStyle w:val="zkltextblok12"/>
        <w:spacing w:before="0" w:line="360" w:lineRule="auto"/>
        <w:jc w:val="center"/>
        <w:rPr>
          <w:rFonts w:ascii="Arial" w:hAnsi="Arial" w:cs="Arial"/>
          <w:sz w:val="22"/>
          <w:szCs w:val="22"/>
        </w:rPr>
        <w:sectPr w:rsidR="0038325E" w:rsidRPr="009565D4" w:rsidSect="0038325E">
          <w:footerReference w:type="even" r:id="rId9"/>
          <w:footerReference w:type="default" r:id="rId10"/>
          <w:type w:val="continuous"/>
          <w:pgSz w:w="11906" w:h="16838"/>
          <w:pgMar w:top="1418" w:right="1133" w:bottom="1418" w:left="1134" w:header="708" w:footer="992" w:gutter="0"/>
          <w:pgNumType w:start="1"/>
          <w:cols w:space="708"/>
          <w:titlePg/>
        </w:sectPr>
      </w:pPr>
    </w:p>
    <w:p w14:paraId="4F6D0424" w14:textId="77777777" w:rsidR="0038325E" w:rsidRPr="009565D4" w:rsidRDefault="0038325E" w:rsidP="003832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444B83E" w14:textId="77777777" w:rsidR="0038325E" w:rsidRPr="008606BE" w:rsidRDefault="0038325E" w:rsidP="003832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B5CE0DC" w14:textId="77777777" w:rsidR="0038325E" w:rsidRPr="008606BE" w:rsidRDefault="0038325E" w:rsidP="003832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Advokát a Klient společně též „Smluvní strany“</w:t>
      </w:r>
    </w:p>
    <w:p w14:paraId="352B5CEC" w14:textId="77777777" w:rsidR="0038325E" w:rsidRDefault="0038325E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5611509B" w14:textId="77777777" w:rsidR="0041090B" w:rsidRDefault="0041090B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3FF6DA76" w14:textId="77777777" w:rsidR="001A2CD4" w:rsidRDefault="001A2CD4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1C8872B6" w14:textId="77777777" w:rsidR="001A2CD4" w:rsidRDefault="001A2CD4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1D31BE9F" w14:textId="77777777" w:rsidR="001A2CD4" w:rsidRDefault="001A2CD4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3A1E5C14" w14:textId="77777777" w:rsidR="001A2CD4" w:rsidRDefault="001A2CD4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19AB9504" w14:textId="77777777" w:rsidR="001A2CD4" w:rsidRPr="008606BE" w:rsidRDefault="001A2CD4" w:rsidP="0038325E">
      <w:pPr>
        <w:spacing w:line="360" w:lineRule="auto"/>
        <w:rPr>
          <w:rFonts w:ascii="Arial" w:hAnsi="Arial" w:cs="Arial"/>
          <w:sz w:val="22"/>
          <w:szCs w:val="22"/>
        </w:rPr>
      </w:pPr>
    </w:p>
    <w:p w14:paraId="714E4065" w14:textId="77777777" w:rsidR="0038325E" w:rsidRPr="008606BE" w:rsidRDefault="0038325E" w:rsidP="0038325E">
      <w:pPr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uzavírají níže uvedeného dne, měsíce a roku</w:t>
      </w:r>
      <w:r w:rsidRPr="008606BE">
        <w:rPr>
          <w:rFonts w:ascii="Arial" w:hAnsi="Arial" w:cs="Arial"/>
          <w:b/>
          <w:sz w:val="22"/>
          <w:szCs w:val="22"/>
        </w:rPr>
        <w:t xml:space="preserve"> </w:t>
      </w:r>
      <w:r w:rsidRPr="008606BE">
        <w:rPr>
          <w:rFonts w:ascii="Arial" w:hAnsi="Arial" w:cs="Arial"/>
          <w:bCs/>
          <w:sz w:val="22"/>
          <w:szCs w:val="22"/>
        </w:rPr>
        <w:t>v souladu se zákonem č. 85/1996 Sb., o advokacii, ve znění pozdějších předpisů</w:t>
      </w:r>
      <w:r w:rsidRPr="008606BE">
        <w:rPr>
          <w:rFonts w:ascii="Arial" w:hAnsi="Arial" w:cs="Arial"/>
          <w:b/>
          <w:sz w:val="22"/>
          <w:szCs w:val="22"/>
        </w:rPr>
        <w:t xml:space="preserve">, </w:t>
      </w:r>
      <w:r w:rsidRPr="008606BE">
        <w:rPr>
          <w:rFonts w:ascii="Arial" w:hAnsi="Arial" w:cs="Arial"/>
          <w:sz w:val="22"/>
          <w:szCs w:val="22"/>
        </w:rPr>
        <w:t>tuto</w:t>
      </w:r>
    </w:p>
    <w:p w14:paraId="620946B8" w14:textId="77777777" w:rsidR="0038325E" w:rsidRPr="008606BE" w:rsidRDefault="0038325E" w:rsidP="0038325E">
      <w:pPr>
        <w:pStyle w:val="Firma"/>
        <w:spacing w:line="360" w:lineRule="auto"/>
        <w:rPr>
          <w:rFonts w:ascii="Arial" w:hAnsi="Arial" w:cs="Arial"/>
          <w:sz w:val="22"/>
          <w:szCs w:val="22"/>
        </w:rPr>
        <w:sectPr w:rsidR="0038325E" w:rsidRPr="008606BE">
          <w:type w:val="continuous"/>
          <w:pgSz w:w="11906" w:h="16838"/>
          <w:pgMar w:top="1417" w:right="1133" w:bottom="1417" w:left="1134" w:header="708" w:footer="991" w:gutter="0"/>
          <w:cols w:space="708"/>
        </w:sectPr>
      </w:pPr>
    </w:p>
    <w:p w14:paraId="18EAED91" w14:textId="77777777" w:rsidR="008606BE" w:rsidRPr="008606BE" w:rsidRDefault="0038325E" w:rsidP="008606BE">
      <w:pPr>
        <w:pStyle w:val="zkltextcentrbold12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br w:type="page"/>
      </w:r>
      <w:r w:rsidR="008606BE" w:rsidRPr="008606BE">
        <w:rPr>
          <w:rFonts w:ascii="Arial" w:hAnsi="Arial" w:cs="Arial"/>
          <w:sz w:val="22"/>
          <w:szCs w:val="22"/>
        </w:rPr>
        <w:lastRenderedPageBreak/>
        <w:t xml:space="preserve"> </w:t>
      </w:r>
      <w:r w:rsidR="008606BE" w:rsidRPr="003D6381">
        <w:rPr>
          <w:rFonts w:ascii="Arial" w:hAnsi="Arial" w:cs="Arial"/>
          <w:sz w:val="22"/>
          <w:szCs w:val="22"/>
        </w:rPr>
        <w:fldChar w:fldCharType="begin">
          <w:ffData>
            <w:name w:val="označenísmlouvy"/>
            <w:enabled/>
            <w:calcOnExit/>
            <w:textInput>
              <w:default w:val="smlouvu "/>
            </w:textInput>
          </w:ffData>
        </w:fldChar>
      </w:r>
      <w:bookmarkStart w:id="0" w:name="označenísmlouvy"/>
      <w:r w:rsidR="008606BE" w:rsidRPr="003D6381">
        <w:rPr>
          <w:rFonts w:ascii="Arial" w:hAnsi="Arial" w:cs="Arial"/>
          <w:sz w:val="22"/>
          <w:szCs w:val="22"/>
        </w:rPr>
        <w:instrText xml:space="preserve"> FORMTEXT </w:instrText>
      </w:r>
      <w:r w:rsidR="008606BE" w:rsidRPr="003D6381">
        <w:rPr>
          <w:rFonts w:ascii="Arial" w:hAnsi="Arial" w:cs="Arial"/>
          <w:sz w:val="22"/>
          <w:szCs w:val="22"/>
        </w:rPr>
      </w:r>
      <w:r w:rsidR="008606BE" w:rsidRPr="003D6381">
        <w:rPr>
          <w:rFonts w:ascii="Arial" w:hAnsi="Arial" w:cs="Arial"/>
          <w:sz w:val="22"/>
          <w:szCs w:val="22"/>
        </w:rPr>
        <w:fldChar w:fldCharType="separate"/>
      </w:r>
      <w:r w:rsidR="008606BE" w:rsidRPr="003D6381">
        <w:rPr>
          <w:rFonts w:ascii="Arial" w:hAnsi="Arial" w:cs="Arial"/>
          <w:noProof/>
          <w:sz w:val="22"/>
          <w:szCs w:val="22"/>
        </w:rPr>
        <w:t>smlouvu o poskytování právních služeb</w:t>
      </w:r>
      <w:r w:rsidR="008606BE" w:rsidRPr="003D6381">
        <w:rPr>
          <w:rFonts w:ascii="Arial" w:hAnsi="Arial" w:cs="Arial"/>
          <w:sz w:val="22"/>
          <w:szCs w:val="22"/>
        </w:rPr>
        <w:fldChar w:fldCharType="end"/>
      </w:r>
      <w:bookmarkEnd w:id="0"/>
      <w:r w:rsidR="008606BE" w:rsidRPr="008606BE">
        <w:rPr>
          <w:rFonts w:ascii="Arial" w:hAnsi="Arial" w:cs="Arial"/>
          <w:sz w:val="22"/>
          <w:szCs w:val="22"/>
        </w:rPr>
        <w:t xml:space="preserve"> </w:t>
      </w:r>
    </w:p>
    <w:p w14:paraId="07A89CA9" w14:textId="77777777" w:rsidR="008606BE" w:rsidRPr="008606BE" w:rsidRDefault="008606BE" w:rsidP="008606BE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(dále jen „Smlouva”)</w:t>
      </w:r>
    </w:p>
    <w:p w14:paraId="6A8EAFB9" w14:textId="77777777" w:rsidR="008606BE" w:rsidRPr="008606BE" w:rsidRDefault="008606BE" w:rsidP="008606BE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</w:p>
    <w:p w14:paraId="7EF82C1D" w14:textId="77777777" w:rsidR="008606BE" w:rsidRPr="008606BE" w:rsidRDefault="008606BE" w:rsidP="008606BE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11C1418F" w14:textId="77777777" w:rsidR="008606BE" w:rsidRPr="008606BE" w:rsidRDefault="008606BE" w:rsidP="008606BE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Předmět smlouvy</w:t>
      </w:r>
    </w:p>
    <w:p w14:paraId="3DFCC984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Předmětem této smlouvy je závazek Advokáta poskytovat Klientovi právní služby za podmínek stanovených dále v této Smlouvě, a to zejména formou konzultací, poskytováním právních</w:t>
      </w:r>
      <w:r w:rsidR="00FC28A2">
        <w:rPr>
          <w:rFonts w:ascii="Arial" w:hAnsi="Arial" w:cs="Arial"/>
          <w:sz w:val="22"/>
          <w:szCs w:val="22"/>
        </w:rPr>
        <w:t xml:space="preserve"> rozborů a </w:t>
      </w:r>
      <w:r w:rsidRPr="008606BE">
        <w:rPr>
          <w:rFonts w:ascii="Arial" w:hAnsi="Arial" w:cs="Arial"/>
          <w:sz w:val="22"/>
          <w:szCs w:val="22"/>
        </w:rPr>
        <w:t xml:space="preserve">stanovisek ústních i písemných, uplatněním nároku vůči </w:t>
      </w:r>
      <w:r w:rsidR="00FC28A2">
        <w:rPr>
          <w:rFonts w:ascii="Arial" w:hAnsi="Arial" w:cs="Arial"/>
          <w:sz w:val="22"/>
          <w:szCs w:val="22"/>
        </w:rPr>
        <w:t>třetí</w:t>
      </w:r>
      <w:r w:rsidRPr="008606BE">
        <w:rPr>
          <w:rFonts w:ascii="Arial" w:hAnsi="Arial" w:cs="Arial"/>
          <w:sz w:val="22"/>
          <w:szCs w:val="22"/>
        </w:rPr>
        <w:t xml:space="preserve"> osobě, vytvářením návrhů </w:t>
      </w:r>
      <w:r w:rsidR="00FC28A2">
        <w:rPr>
          <w:rFonts w:ascii="Arial" w:hAnsi="Arial" w:cs="Arial"/>
          <w:sz w:val="22"/>
          <w:szCs w:val="22"/>
        </w:rPr>
        <w:t xml:space="preserve">dohod, </w:t>
      </w:r>
      <w:r w:rsidRPr="008606BE">
        <w:rPr>
          <w:rFonts w:ascii="Arial" w:hAnsi="Arial" w:cs="Arial"/>
          <w:sz w:val="22"/>
          <w:szCs w:val="22"/>
        </w:rPr>
        <w:t xml:space="preserve">smluv a dalších dokumentů, zastupováním Klienta v řízení před soudy a před orgány státní správy a samosprávy, orgány činnými v trestním řízení, případně dalšími institucemi, korespondence, to vše dle požadavků Klienta (dále jen „Právní služby“). Klient se zavazuje platit Advokátovi za Právní služby odměnu podle této smlouvy. </w:t>
      </w:r>
    </w:p>
    <w:p w14:paraId="25CB9A22" w14:textId="77777777" w:rsidR="008606BE" w:rsidRPr="008606BE" w:rsidRDefault="008606BE" w:rsidP="008606BE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0EE4C147" w14:textId="77777777" w:rsidR="008606BE" w:rsidRPr="008606BE" w:rsidRDefault="008606BE" w:rsidP="008606BE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Závazky Advokáta</w:t>
      </w:r>
    </w:p>
    <w:p w14:paraId="78D779BC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Advokát je při své činnosti vázán obecně závaznými právními předpisy a v jejich mezích příkazy Klienta.</w:t>
      </w:r>
    </w:p>
    <w:p w14:paraId="7D66234B" w14:textId="77777777" w:rsidR="004D142F" w:rsidRDefault="008606BE" w:rsidP="004D142F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Advokát je při poskytování Právních služeb povinen postupovat s náležitou odbornou péčí, chránit práva a zájmy Klienta.</w:t>
      </w:r>
      <w:r w:rsidR="004D142F" w:rsidRPr="004D142F">
        <w:rPr>
          <w:rFonts w:ascii="Arial" w:hAnsi="Arial" w:cs="Arial"/>
          <w:sz w:val="22"/>
          <w:szCs w:val="22"/>
        </w:rPr>
        <w:t xml:space="preserve"> </w:t>
      </w:r>
    </w:p>
    <w:p w14:paraId="5264FA24" w14:textId="77777777" w:rsidR="004D142F" w:rsidRDefault="004D142F" w:rsidP="004D142F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ručí za správnost a perfektnost veškerých činností, které budou realizovány na základě této Smlouvy. </w:t>
      </w:r>
    </w:p>
    <w:p w14:paraId="06DD27B3" w14:textId="79AECD98" w:rsidR="008606BE" w:rsidRPr="004D142F" w:rsidRDefault="004D142F" w:rsidP="004D142F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prohlašuje, že má uzavřeno pojištění odpovědnosti za škodu ve výši </w:t>
      </w:r>
      <w:r w:rsidR="001A2CD4" w:rsidRPr="009D518D">
        <w:rPr>
          <w:rFonts w:ascii="Arial" w:hAnsi="Arial" w:cs="Arial"/>
          <w:sz w:val="22"/>
          <w:szCs w:val="22"/>
        </w:rPr>
        <w:t>100.000.000, -</w:t>
      </w:r>
      <w:r w:rsidRPr="009D518D">
        <w:rPr>
          <w:rFonts w:ascii="Arial" w:hAnsi="Arial" w:cs="Arial"/>
          <w:sz w:val="22"/>
          <w:szCs w:val="22"/>
        </w:rPr>
        <w:t xml:space="preserve"> Kč (slovy </w:t>
      </w:r>
      <w:r>
        <w:rPr>
          <w:rFonts w:ascii="Arial" w:hAnsi="Arial" w:cs="Arial"/>
          <w:sz w:val="22"/>
          <w:szCs w:val="22"/>
        </w:rPr>
        <w:t xml:space="preserve">jedno </w:t>
      </w:r>
      <w:r w:rsidRPr="009D518D">
        <w:rPr>
          <w:rFonts w:ascii="Arial" w:hAnsi="Arial" w:cs="Arial"/>
          <w:sz w:val="22"/>
          <w:szCs w:val="22"/>
        </w:rPr>
        <w:t>sto</w:t>
      </w:r>
      <w:r>
        <w:rPr>
          <w:rFonts w:ascii="Arial" w:hAnsi="Arial" w:cs="Arial"/>
          <w:sz w:val="22"/>
          <w:szCs w:val="22"/>
        </w:rPr>
        <w:t xml:space="preserve"> </w:t>
      </w:r>
      <w:r w:rsidRPr="009D518D">
        <w:rPr>
          <w:rFonts w:ascii="Arial" w:hAnsi="Arial" w:cs="Arial"/>
          <w:sz w:val="22"/>
          <w:szCs w:val="22"/>
        </w:rPr>
        <w:t xml:space="preserve">miliónů korun českých). </w:t>
      </w:r>
      <w:r>
        <w:rPr>
          <w:rFonts w:ascii="Arial" w:hAnsi="Arial" w:cs="Arial"/>
          <w:sz w:val="22"/>
          <w:szCs w:val="22"/>
        </w:rPr>
        <w:t>Advokát</w:t>
      </w:r>
      <w:r w:rsidRPr="009D518D">
        <w:rPr>
          <w:rFonts w:ascii="Arial" w:hAnsi="Arial" w:cs="Arial"/>
          <w:sz w:val="22"/>
          <w:szCs w:val="22"/>
        </w:rPr>
        <w:t xml:space="preserve"> prohlašuje, že bude pojištěn pro případ odpovědnosti za škodu způsobenou </w:t>
      </w:r>
      <w:r>
        <w:rPr>
          <w:rFonts w:ascii="Arial" w:hAnsi="Arial" w:cs="Arial"/>
          <w:sz w:val="22"/>
          <w:szCs w:val="22"/>
        </w:rPr>
        <w:t>Klientovi</w:t>
      </w:r>
      <w:r w:rsidRPr="009D518D">
        <w:rPr>
          <w:rFonts w:ascii="Arial" w:hAnsi="Arial" w:cs="Arial"/>
          <w:sz w:val="22"/>
          <w:szCs w:val="22"/>
        </w:rPr>
        <w:t xml:space="preserve"> po celou dobu účinnosti této Smlouvy nejméně v rozsahu uvedeném v tomto ustanovení.</w:t>
      </w:r>
    </w:p>
    <w:p w14:paraId="6D48B1BA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Advokát je povinen zachovávat mlčenlivost o všech skutečnostech, o nichž se dozvěděl v souvislosti s poskytováním Právních služeb, ledaže by šlo o skutečnosti nepochybně obecně známé. Povinnost mlčenlivosti se obdobně vztahuje i na zaměstnance Advokáta, včetně koncipientů. Povinnosti mlčenlivosti může Advokáta zprostit pouze Klient svým písemným prohlášením adresovaným Advokátovi. Závazek Advokáta k zachovávání mlčenlivosti zůstává v platnosti i po zániku této smlouvy.</w:t>
      </w:r>
    </w:p>
    <w:p w14:paraId="18D71326" w14:textId="77777777" w:rsidR="004D142F" w:rsidRDefault="008606BE" w:rsidP="004D142F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 xml:space="preserve">Klient bere na vědomí, že se Advokát může v souladu s § 26 odst.1. zákona č. 85/1996 Sb., o advokacii, ve znění pozdějších předpisů, dát v rámci svého pověření zastoupit i jiným advokátem. </w:t>
      </w:r>
    </w:p>
    <w:p w14:paraId="0E0665E9" w14:textId="77777777" w:rsidR="004D142F" w:rsidRPr="004D142F" w:rsidRDefault="004D142F" w:rsidP="004D142F">
      <w:pPr>
        <w:pStyle w:val="Textodst1sl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26804B9A" w14:textId="77777777" w:rsidR="008606BE" w:rsidRPr="008606BE" w:rsidRDefault="008606BE" w:rsidP="008606BE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22E11004" w14:textId="77777777" w:rsidR="008606BE" w:rsidRPr="008606BE" w:rsidRDefault="008606BE" w:rsidP="008606BE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Závazky Klienta</w:t>
      </w:r>
    </w:p>
    <w:p w14:paraId="2F301E5B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Klient je povinen předat včas Advokátovi veškeré informace a listinné podklady, jež jsou nutné k řádnému poskytování Právních služeb.</w:t>
      </w:r>
    </w:p>
    <w:p w14:paraId="640945AC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Klient je povinen poskytovat Advokátovi i jinou nezbytnou součinnost potřebnou pro řádné poskytování Právních služeb.</w:t>
      </w:r>
    </w:p>
    <w:p w14:paraId="52C2D5AA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 xml:space="preserve">Klient je povinen zaplatit odměnu a náhradu nákladů podle článku IV. této smlouvy. </w:t>
      </w:r>
    </w:p>
    <w:p w14:paraId="178BB01B" w14:textId="77777777" w:rsidR="008606BE" w:rsidRPr="008606BE" w:rsidRDefault="008606BE" w:rsidP="008606BE">
      <w:pPr>
        <w:pStyle w:val="Textodst1sl"/>
        <w:numPr>
          <w:ilvl w:val="0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</w:p>
    <w:p w14:paraId="64EFAB03" w14:textId="77777777" w:rsidR="008606BE" w:rsidRPr="008606BE" w:rsidRDefault="008606BE" w:rsidP="008606BE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59807C90" w14:textId="77777777" w:rsidR="008606BE" w:rsidRPr="008606BE" w:rsidRDefault="008606BE" w:rsidP="008606BE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 xml:space="preserve"> Odměna, náhrada nákladů</w:t>
      </w:r>
    </w:p>
    <w:p w14:paraId="31377E6C" w14:textId="0DC05761" w:rsidR="004D142F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4D142F">
        <w:rPr>
          <w:rFonts w:ascii="Arial" w:hAnsi="Arial" w:cs="Arial"/>
          <w:sz w:val="22"/>
          <w:szCs w:val="22"/>
        </w:rPr>
        <w:t xml:space="preserve">Klient se zavazuje za Právní služby zaplatit Advokátovi smluvní </w:t>
      </w:r>
      <w:r w:rsidR="00E20608" w:rsidRPr="004D142F">
        <w:rPr>
          <w:rFonts w:ascii="Arial" w:hAnsi="Arial" w:cs="Arial"/>
          <w:sz w:val="22"/>
          <w:szCs w:val="22"/>
        </w:rPr>
        <w:t xml:space="preserve">hodinovou </w:t>
      </w:r>
      <w:r w:rsidRPr="004D142F">
        <w:rPr>
          <w:rFonts w:ascii="Arial" w:hAnsi="Arial" w:cs="Arial"/>
          <w:sz w:val="22"/>
          <w:szCs w:val="22"/>
        </w:rPr>
        <w:t xml:space="preserve">odměnu ve výši </w:t>
      </w:r>
      <w:r w:rsidR="001A2CD4" w:rsidRPr="004D142F">
        <w:rPr>
          <w:rFonts w:ascii="Arial" w:hAnsi="Arial" w:cs="Arial"/>
          <w:sz w:val="22"/>
          <w:szCs w:val="22"/>
        </w:rPr>
        <w:t>2.</w:t>
      </w:r>
      <w:r w:rsidR="001A2CD4">
        <w:rPr>
          <w:rFonts w:ascii="Arial" w:hAnsi="Arial" w:cs="Arial"/>
          <w:sz w:val="22"/>
          <w:szCs w:val="22"/>
        </w:rPr>
        <w:t>0</w:t>
      </w:r>
      <w:r w:rsidR="001A2CD4" w:rsidRPr="004D142F">
        <w:rPr>
          <w:rFonts w:ascii="Arial" w:hAnsi="Arial" w:cs="Arial"/>
          <w:sz w:val="22"/>
          <w:szCs w:val="22"/>
        </w:rPr>
        <w:t>00, -</w:t>
      </w:r>
      <w:r w:rsidR="00E20608" w:rsidRPr="004D142F">
        <w:rPr>
          <w:rFonts w:ascii="Arial" w:hAnsi="Arial" w:cs="Arial"/>
          <w:sz w:val="22"/>
          <w:szCs w:val="22"/>
        </w:rPr>
        <w:t xml:space="preserve"> Kč za hodinu </w:t>
      </w:r>
      <w:r w:rsidR="004D142F" w:rsidRPr="004D142F">
        <w:rPr>
          <w:rFonts w:ascii="Arial" w:hAnsi="Arial" w:cs="Arial"/>
          <w:sz w:val="22"/>
          <w:szCs w:val="22"/>
        </w:rPr>
        <w:t>právních služeb</w:t>
      </w:r>
      <w:r w:rsidR="00ED18AF">
        <w:rPr>
          <w:rFonts w:ascii="Arial" w:hAnsi="Arial" w:cs="Arial"/>
          <w:sz w:val="22"/>
          <w:szCs w:val="22"/>
        </w:rPr>
        <w:t xml:space="preserve"> (účtováno dle skutečného času po minutách, nikoli za započatou hodinu)</w:t>
      </w:r>
      <w:r w:rsidR="004D142F" w:rsidRPr="004D142F">
        <w:rPr>
          <w:rFonts w:ascii="Arial" w:hAnsi="Arial" w:cs="Arial"/>
          <w:sz w:val="22"/>
          <w:szCs w:val="22"/>
        </w:rPr>
        <w:t xml:space="preserve">. </w:t>
      </w:r>
    </w:p>
    <w:p w14:paraId="38F9D478" w14:textId="77777777" w:rsid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Částky uvedené v odst. 4.1. jsou stanoveny bez DPH, které bude připočítáno v zákonné výši.</w:t>
      </w:r>
    </w:p>
    <w:p w14:paraId="6358D443" w14:textId="1BFA7BA7" w:rsidR="004D142F" w:rsidRPr="004D142F" w:rsidRDefault="004D142F" w:rsidP="004D142F">
      <w:pPr>
        <w:pStyle w:val="Textodst1sl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E720D1">
        <w:rPr>
          <w:rFonts w:ascii="Arial" w:hAnsi="Arial" w:cs="Arial"/>
          <w:sz w:val="22"/>
          <w:szCs w:val="22"/>
        </w:rPr>
        <w:t xml:space="preserve">Odměna dle tohoto článku této Smlouvy bude </w:t>
      </w:r>
      <w:r>
        <w:rPr>
          <w:rFonts w:ascii="Arial" w:hAnsi="Arial" w:cs="Arial"/>
          <w:sz w:val="22"/>
          <w:szCs w:val="22"/>
        </w:rPr>
        <w:t>Advokátovi Klientem</w:t>
      </w:r>
      <w:r w:rsidRPr="00E720D1">
        <w:rPr>
          <w:rFonts w:ascii="Arial" w:hAnsi="Arial" w:cs="Arial"/>
          <w:sz w:val="22"/>
          <w:szCs w:val="22"/>
        </w:rPr>
        <w:t xml:space="preserve"> uhrazena na základě faktur vystaven</w:t>
      </w:r>
      <w:r>
        <w:rPr>
          <w:rFonts w:ascii="Arial" w:hAnsi="Arial" w:cs="Arial"/>
          <w:sz w:val="22"/>
          <w:szCs w:val="22"/>
        </w:rPr>
        <w:t>ých advokátem</w:t>
      </w:r>
      <w:r w:rsidRPr="00E720D1">
        <w:rPr>
          <w:rFonts w:ascii="Arial" w:hAnsi="Arial" w:cs="Arial"/>
          <w:sz w:val="22"/>
          <w:szCs w:val="22"/>
        </w:rPr>
        <w:t>.</w:t>
      </w:r>
      <w:r w:rsidRPr="004D142F">
        <w:rPr>
          <w:rFonts w:ascii="Arial" w:hAnsi="Arial" w:cs="Arial"/>
          <w:sz w:val="22"/>
          <w:szCs w:val="22"/>
        </w:rPr>
        <w:t xml:space="preserve"> </w:t>
      </w:r>
      <w:r w:rsidRPr="00E720D1">
        <w:rPr>
          <w:rFonts w:ascii="Arial" w:hAnsi="Arial" w:cs="Arial"/>
          <w:sz w:val="22"/>
          <w:szCs w:val="22"/>
        </w:rPr>
        <w:t xml:space="preserve">Lhůta splatnosti faktury se sjednává na </w:t>
      </w:r>
      <w:r w:rsidR="003D6381">
        <w:rPr>
          <w:rFonts w:ascii="Arial" w:hAnsi="Arial" w:cs="Arial"/>
          <w:sz w:val="22"/>
          <w:szCs w:val="22"/>
        </w:rPr>
        <w:t>30</w:t>
      </w:r>
      <w:r w:rsidRPr="00E720D1">
        <w:rPr>
          <w:rFonts w:ascii="Arial" w:hAnsi="Arial" w:cs="Arial"/>
          <w:sz w:val="22"/>
          <w:szCs w:val="22"/>
        </w:rPr>
        <w:t xml:space="preserve"> dnů ode dne doručení faktury na adresu </w:t>
      </w:r>
      <w:r>
        <w:rPr>
          <w:rFonts w:ascii="Arial" w:hAnsi="Arial" w:cs="Arial"/>
          <w:sz w:val="22"/>
          <w:szCs w:val="22"/>
        </w:rPr>
        <w:t>Klienta</w:t>
      </w:r>
      <w:r w:rsidRPr="00E720D1">
        <w:rPr>
          <w:rFonts w:ascii="Arial" w:hAnsi="Arial" w:cs="Arial"/>
          <w:sz w:val="22"/>
          <w:szCs w:val="22"/>
        </w:rPr>
        <w:t xml:space="preserve"> uvedeného v záhlaví této Smlouvy.</w:t>
      </w:r>
    </w:p>
    <w:p w14:paraId="61D3F1EB" w14:textId="6D31BC1D" w:rsidR="008606BE" w:rsidRDefault="008606BE" w:rsidP="008606B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 xml:space="preserve">Advokát má kromě výše </w:t>
      </w:r>
      <w:r w:rsidR="00527B6F">
        <w:rPr>
          <w:rFonts w:ascii="Arial" w:hAnsi="Arial" w:cs="Arial"/>
          <w:sz w:val="22"/>
          <w:szCs w:val="22"/>
        </w:rPr>
        <w:t>uvedené odměny</w:t>
      </w:r>
      <w:r w:rsidRPr="008606BE">
        <w:rPr>
          <w:rFonts w:ascii="Arial" w:hAnsi="Arial" w:cs="Arial"/>
          <w:sz w:val="22"/>
          <w:szCs w:val="22"/>
        </w:rPr>
        <w:t xml:space="preserve"> nárok na náhradu nákladů spojených s poskytováním Právních služeb podle vyhlášky č. 177/1996 Sb., advokátního tarifu, ve znění pozdějších předpisů, jako jsou zejména soudní poplatky, odměny notářů, znalců, tlumočníků a </w:t>
      </w:r>
      <w:r w:rsidR="001A2CD4" w:rsidRPr="008606BE">
        <w:rPr>
          <w:rFonts w:ascii="Arial" w:hAnsi="Arial" w:cs="Arial"/>
          <w:sz w:val="22"/>
          <w:szCs w:val="22"/>
        </w:rPr>
        <w:t>přek</w:t>
      </w:r>
      <w:r w:rsidR="001A2CD4">
        <w:rPr>
          <w:rFonts w:ascii="Arial" w:hAnsi="Arial" w:cs="Arial"/>
          <w:sz w:val="22"/>
          <w:szCs w:val="22"/>
        </w:rPr>
        <w:t>ladatelů</w:t>
      </w:r>
      <w:r>
        <w:rPr>
          <w:rFonts w:ascii="Arial" w:hAnsi="Arial" w:cs="Arial"/>
          <w:sz w:val="22"/>
          <w:szCs w:val="22"/>
        </w:rPr>
        <w:t xml:space="preserve"> apod</w:t>
      </w:r>
      <w:r w:rsidRPr="008606BE">
        <w:rPr>
          <w:rFonts w:ascii="Arial" w:hAnsi="Arial" w:cs="Arial"/>
          <w:sz w:val="22"/>
          <w:szCs w:val="22"/>
        </w:rPr>
        <w:t xml:space="preserve">.  Advokát </w:t>
      </w:r>
      <w:r w:rsidR="00C86BC5">
        <w:rPr>
          <w:rFonts w:ascii="Arial" w:hAnsi="Arial" w:cs="Arial"/>
          <w:sz w:val="22"/>
          <w:szCs w:val="22"/>
        </w:rPr>
        <w:t>ne</w:t>
      </w:r>
      <w:r w:rsidRPr="008606BE">
        <w:rPr>
          <w:rFonts w:ascii="Arial" w:hAnsi="Arial" w:cs="Arial"/>
          <w:sz w:val="22"/>
          <w:szCs w:val="22"/>
        </w:rPr>
        <w:t>má v případě úspěchu v soudním sporu, ve kterém zastupuje klienta, nárok na odměnu ve výši</w:t>
      </w:r>
      <w:r w:rsidRPr="008606BE">
        <w:rPr>
          <w:rFonts w:ascii="Arial" w:hAnsi="Arial" w:cs="Arial"/>
          <w:b/>
          <w:sz w:val="22"/>
          <w:szCs w:val="22"/>
        </w:rPr>
        <w:t xml:space="preserve"> </w:t>
      </w:r>
      <w:r w:rsidRPr="008606BE">
        <w:rPr>
          <w:rFonts w:ascii="Arial" w:hAnsi="Arial" w:cs="Arial"/>
          <w:sz w:val="22"/>
          <w:szCs w:val="22"/>
        </w:rPr>
        <w:t>přiznané paušální náhrady nákladů za zastoupení v soudním řízení Advokátem, tzn. část přísudku hrazeného neúspěšnou protistranou v soudním sporu.</w:t>
      </w:r>
    </w:p>
    <w:p w14:paraId="58E833DF" w14:textId="77777777" w:rsidR="009E5A5A" w:rsidRDefault="009E5A5A" w:rsidP="009E5A5A">
      <w:pPr>
        <w:pStyle w:val="Textodst1sl"/>
        <w:numPr>
          <w:ilvl w:val="0"/>
          <w:numId w:val="0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1AF4AD93" w14:textId="77777777" w:rsidR="008606BE" w:rsidRPr="008606BE" w:rsidRDefault="008606BE" w:rsidP="008606BE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37B394C7" w14:textId="10DDA87E" w:rsidR="008606BE" w:rsidRPr="008606BE" w:rsidRDefault="004B4468" w:rsidP="008606BE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Trvání smlouvy a ú</w:t>
      </w:r>
      <w:r w:rsidR="008606BE" w:rsidRPr="008606BE">
        <w:rPr>
          <w:rFonts w:ascii="Arial" w:hAnsi="Arial" w:cs="Arial"/>
          <w:sz w:val="22"/>
          <w:szCs w:val="22"/>
        </w:rPr>
        <w:t>činnost smlouvy</w:t>
      </w:r>
    </w:p>
    <w:p w14:paraId="60B5D24F" w14:textId="717BA505" w:rsidR="004B4468" w:rsidRDefault="004B4468" w:rsidP="00BA1DE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se uzavírá na dobu určitou, a to do doby dosažení celkové účtované/fakturované částky ve výši </w:t>
      </w:r>
      <w:r w:rsidR="001A2CD4">
        <w:rPr>
          <w:rFonts w:ascii="Arial" w:hAnsi="Arial" w:cs="Arial"/>
          <w:sz w:val="22"/>
          <w:szCs w:val="22"/>
        </w:rPr>
        <w:t>300.000, -</w:t>
      </w:r>
      <w:r>
        <w:rPr>
          <w:rFonts w:ascii="Arial" w:hAnsi="Arial" w:cs="Arial"/>
          <w:sz w:val="22"/>
          <w:szCs w:val="22"/>
        </w:rPr>
        <w:t xml:space="preserve"> Kč bez DPH, nebo do jednoho roku od účinnosti této smlouvy, podle toho, která z okolností nastane dříve.</w:t>
      </w:r>
    </w:p>
    <w:p w14:paraId="0DBF9151" w14:textId="22959D07" w:rsidR="00BA1DEE" w:rsidRPr="00BA1DEE" w:rsidRDefault="00BA1DEE" w:rsidP="00BA1DEE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BA1DEE">
        <w:rPr>
          <w:rFonts w:ascii="Arial" w:hAnsi="Arial" w:cs="Arial"/>
          <w:sz w:val="22"/>
          <w:szCs w:val="22"/>
        </w:rPr>
        <w:t xml:space="preserve">Tato Smlouva nabývá platnosti dnem jejího podpisu Klientem a Advokátem. Smluvní strany berou na vědomí, že tato Smlouva a její dodatky budou uveřejněny prostřednictvím registru smluv podle zákona č. 340/2015 Sb., o zvláštních podmínkách účinnosti některých smluv, </w:t>
      </w:r>
      <w:r w:rsidRPr="00BA1DEE">
        <w:rPr>
          <w:rFonts w:ascii="Arial" w:hAnsi="Arial" w:cs="Arial"/>
          <w:sz w:val="22"/>
          <w:szCs w:val="22"/>
        </w:rPr>
        <w:lastRenderedPageBreak/>
        <w:t>uveřejňování těchto smluv a o registru smluv, ve znění pozdějších předpisů (dále jen "zákon o</w:t>
      </w:r>
      <w:r>
        <w:rPr>
          <w:rFonts w:ascii="Arial" w:hAnsi="Arial" w:cs="Arial"/>
          <w:sz w:val="22"/>
          <w:szCs w:val="22"/>
        </w:rPr>
        <w:t xml:space="preserve"> </w:t>
      </w:r>
      <w:r w:rsidRPr="00BA1DEE">
        <w:rPr>
          <w:rFonts w:ascii="Arial" w:hAnsi="Arial" w:cs="Arial"/>
          <w:sz w:val="22"/>
          <w:szCs w:val="22"/>
        </w:rPr>
        <w:t>registru smluv"). Tato Smlouva a její dodatky se stanou účinnými nejdříve dnem jejich uveřejnění ve smyslu § 5 zákona o registru smluv.</w:t>
      </w:r>
    </w:p>
    <w:p w14:paraId="4E3DA981" w14:textId="77777777" w:rsidR="008606BE" w:rsidRPr="008606BE" w:rsidRDefault="008606BE" w:rsidP="008606BE">
      <w:pPr>
        <w:pStyle w:val="slolnku"/>
        <w:spacing w:line="360" w:lineRule="auto"/>
        <w:rPr>
          <w:rFonts w:ascii="Arial" w:hAnsi="Arial" w:cs="Arial"/>
          <w:sz w:val="22"/>
          <w:szCs w:val="22"/>
        </w:rPr>
      </w:pPr>
    </w:p>
    <w:p w14:paraId="2E9C88B0" w14:textId="77777777" w:rsidR="008606BE" w:rsidRPr="008606BE" w:rsidRDefault="008606BE" w:rsidP="008606BE">
      <w:pPr>
        <w:pStyle w:val="Nzevlnku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 xml:space="preserve"> Závěrečná ustanovení</w:t>
      </w:r>
    </w:p>
    <w:p w14:paraId="476F72A4" w14:textId="6B1FF025" w:rsidR="004B4468" w:rsidRPr="004B4468" w:rsidRDefault="008606BE" w:rsidP="004B4468">
      <w:pPr>
        <w:pStyle w:val="Textodst1sl"/>
        <w:spacing w:line="360" w:lineRule="auto"/>
        <w:rPr>
          <w:rFonts w:ascii="Arial" w:hAnsi="Arial" w:cs="Arial"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Tato smlouva byla vyhotovena ve dvou stejnopisech, z nichž každá ze smluvních stran obdrží po jednom.</w:t>
      </w:r>
    </w:p>
    <w:p w14:paraId="6CAD9B46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b/>
          <w:sz w:val="22"/>
          <w:szCs w:val="22"/>
        </w:rPr>
      </w:pPr>
      <w:r w:rsidRPr="008606BE">
        <w:rPr>
          <w:rFonts w:ascii="Arial" w:hAnsi="Arial" w:cs="Arial"/>
          <w:sz w:val="22"/>
          <w:szCs w:val="22"/>
        </w:rPr>
        <w:t>Smluvní strany prohlašují, že si tuto smlouvu pozorně přečetly, se smlouvou souhlasí a na důkaz toho připojují své podpisy.</w:t>
      </w:r>
    </w:p>
    <w:p w14:paraId="5B2AB04F" w14:textId="77777777" w:rsidR="008606BE" w:rsidRPr="008606BE" w:rsidRDefault="008606BE" w:rsidP="008606BE">
      <w:pPr>
        <w:pStyle w:val="Textodst1sl"/>
        <w:spacing w:line="360" w:lineRule="auto"/>
        <w:rPr>
          <w:rFonts w:ascii="Arial" w:hAnsi="Arial" w:cs="Arial"/>
          <w:bCs/>
          <w:sz w:val="22"/>
          <w:szCs w:val="22"/>
        </w:rPr>
      </w:pPr>
      <w:r w:rsidRPr="008606BE">
        <w:rPr>
          <w:rFonts w:ascii="Arial" w:hAnsi="Arial" w:cs="Arial"/>
          <w:bCs/>
          <w:sz w:val="22"/>
          <w:szCs w:val="22"/>
        </w:rPr>
        <w:t>Tato smlouva je uzavírána na dobu neurčitou s výpovědní lhůtou dvou měsíců.</w:t>
      </w:r>
    </w:p>
    <w:p w14:paraId="0FBAA57D" w14:textId="77777777" w:rsidR="008606BE" w:rsidRPr="008606BE" w:rsidRDefault="008606BE" w:rsidP="008606BE">
      <w:pPr>
        <w:spacing w:line="360" w:lineRule="auto"/>
        <w:rPr>
          <w:rFonts w:ascii="Arial" w:hAnsi="Arial" w:cs="Arial"/>
          <w:sz w:val="22"/>
          <w:szCs w:val="22"/>
        </w:rPr>
      </w:pPr>
    </w:p>
    <w:p w14:paraId="066B5746" w14:textId="77777777" w:rsidR="008606BE" w:rsidRPr="008606BE" w:rsidRDefault="008606BE" w:rsidP="008606BE">
      <w:pPr>
        <w:spacing w:line="360" w:lineRule="auto"/>
        <w:rPr>
          <w:rFonts w:ascii="Arial" w:hAnsi="Arial" w:cs="Arial"/>
          <w:sz w:val="22"/>
          <w:szCs w:val="22"/>
        </w:rPr>
      </w:pPr>
    </w:p>
    <w:p w14:paraId="5EFFC802" w14:textId="77777777" w:rsidR="008606BE" w:rsidRPr="008606BE" w:rsidRDefault="008606BE" w:rsidP="008606BE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  <w:sectPr w:rsidR="008606BE" w:rsidRPr="008606BE">
          <w:type w:val="continuous"/>
          <w:pgSz w:w="11906" w:h="16838"/>
          <w:pgMar w:top="1417" w:right="1133" w:bottom="1417" w:left="1134" w:header="708" w:footer="991" w:gutter="0"/>
          <w:cols w:space="708"/>
          <w:formProt w:val="0"/>
          <w:titlePg/>
        </w:sect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8606BE" w:rsidRPr="008606BE" w14:paraId="17CB6A06" w14:textId="77777777" w:rsidTr="00F31436">
        <w:tc>
          <w:tcPr>
            <w:tcW w:w="4890" w:type="dxa"/>
          </w:tcPr>
          <w:p w14:paraId="15A8DBAE" w14:textId="520C7582" w:rsidR="008606BE" w:rsidRPr="008606BE" w:rsidRDefault="008606BE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06BE">
              <w:rPr>
                <w:rFonts w:ascii="Arial" w:hAnsi="Arial" w:cs="Arial"/>
                <w:sz w:val="22"/>
                <w:szCs w:val="22"/>
              </w:rPr>
              <w:t xml:space="preserve">     V Praze dne </w:t>
            </w:r>
            <w:r w:rsidR="009B37B1">
              <w:rPr>
                <w:rFonts w:ascii="Arial" w:hAnsi="Arial" w:cs="Arial"/>
                <w:sz w:val="22"/>
                <w:szCs w:val="22"/>
              </w:rPr>
              <w:t>7.7.2025</w:t>
            </w:r>
          </w:p>
          <w:p w14:paraId="0A006BB8" w14:textId="77777777" w:rsidR="008606BE" w:rsidRDefault="008606BE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312C96" w14:textId="77777777" w:rsidR="001A01BC" w:rsidRDefault="001A01BC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9B6774" w14:textId="77777777" w:rsidR="001A01BC" w:rsidRDefault="001A01BC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557AD55" w14:textId="77777777" w:rsidR="001A2CD4" w:rsidRDefault="001A2CD4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972EE9" w14:textId="77777777" w:rsidR="001A2CD4" w:rsidRDefault="001A2CD4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12A60B" w14:textId="77777777" w:rsidR="001A2CD4" w:rsidRDefault="001A2CD4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0B3B22" w14:textId="77777777" w:rsidR="001A2CD4" w:rsidRDefault="001A2CD4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267E6F" w14:textId="77777777" w:rsidR="001A2CD4" w:rsidRDefault="001A2CD4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2885FEA" w14:textId="77777777" w:rsidR="001A2CD4" w:rsidRPr="008606BE" w:rsidRDefault="001A2CD4" w:rsidP="008606B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4D483A6" w14:textId="77777777" w:rsidR="008606BE" w:rsidRPr="008606BE" w:rsidRDefault="008606BE" w:rsidP="001A01BC">
            <w:pPr>
              <w:pStyle w:val="Zhlav"/>
              <w:keepNext/>
              <w:tabs>
                <w:tab w:val="clear" w:pos="4536"/>
                <w:tab w:val="clear" w:pos="9072"/>
              </w:tabs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06BE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606BE" w:rsidRPr="008606BE" w14:paraId="774826AE" w14:textId="77777777" w:rsidTr="00F31436">
        <w:tc>
          <w:tcPr>
            <w:tcW w:w="4890" w:type="dxa"/>
          </w:tcPr>
          <w:p w14:paraId="71AF1F40" w14:textId="77777777" w:rsidR="008606BE" w:rsidRPr="008606BE" w:rsidRDefault="008606BE" w:rsidP="00527B6F">
            <w:pPr>
              <w:pStyle w:val="zkltextcentr1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06BE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5103" w:type="dxa"/>
          </w:tcPr>
          <w:p w14:paraId="664EC77E" w14:textId="77777777" w:rsidR="008606BE" w:rsidRPr="008606BE" w:rsidRDefault="008606BE" w:rsidP="00527B6F">
            <w:pPr>
              <w:pStyle w:val="zkltextcentr12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606BE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8606BE" w:rsidRPr="001A2CD4" w14:paraId="42C2DB31" w14:textId="77777777" w:rsidTr="00F31436">
        <w:trPr>
          <w:trHeight w:val="342"/>
        </w:trPr>
        <w:tc>
          <w:tcPr>
            <w:tcW w:w="4890" w:type="dxa"/>
          </w:tcPr>
          <w:p w14:paraId="753EB422" w14:textId="77777777" w:rsidR="008606BE" w:rsidRPr="001A2CD4" w:rsidRDefault="001A2CD4" w:rsidP="00527B6F">
            <w:pPr>
              <w:keepNext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2CD4">
              <w:rPr>
                <w:rFonts w:ascii="Arial" w:hAnsi="Arial" w:cs="Arial"/>
                <w:bCs/>
                <w:sz w:val="22"/>
                <w:szCs w:val="22"/>
              </w:rPr>
              <w:t>JUDr. Martinem Šenkýřem, jednatel</w:t>
            </w:r>
          </w:p>
          <w:p w14:paraId="2600CF5C" w14:textId="3DFA2D3C" w:rsidR="001A2CD4" w:rsidRPr="001A2CD4" w:rsidRDefault="001A2CD4" w:rsidP="001A2CD4">
            <w:pPr>
              <w:pStyle w:val="Zkladntext"/>
              <w:spacing w:line="360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1A2CD4">
              <w:rPr>
                <w:rFonts w:ascii="Arial" w:hAnsi="Arial" w:cs="Arial"/>
                <w:b w:val="0"/>
                <w:bCs/>
                <w:sz w:val="22"/>
                <w:szCs w:val="22"/>
              </w:rPr>
              <w:t>ŠENKÝŘ PÁNIK, advokátní kancelář s.r.o.</w:t>
            </w:r>
          </w:p>
        </w:tc>
        <w:tc>
          <w:tcPr>
            <w:tcW w:w="5103" w:type="dxa"/>
          </w:tcPr>
          <w:p w14:paraId="6AA882C6" w14:textId="77777777" w:rsidR="008606BE" w:rsidRPr="001A2CD4" w:rsidRDefault="001A2CD4" w:rsidP="00527B6F">
            <w:pPr>
              <w:keepNext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2CD4">
              <w:rPr>
                <w:rFonts w:ascii="Arial" w:hAnsi="Arial" w:cs="Arial"/>
                <w:bCs/>
                <w:sz w:val="22"/>
                <w:szCs w:val="22"/>
              </w:rPr>
              <w:t>RNDr. Ing. Ivo Macek, ředitel</w:t>
            </w:r>
          </w:p>
          <w:p w14:paraId="081FB080" w14:textId="7A0107B7" w:rsidR="001A2CD4" w:rsidRPr="001A2CD4" w:rsidRDefault="001A2CD4" w:rsidP="00527B6F">
            <w:pPr>
              <w:keepNext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A2CD4">
              <w:rPr>
                <w:rFonts w:ascii="Arial" w:hAnsi="Arial" w:cs="Arial"/>
                <w:bCs/>
                <w:sz w:val="22"/>
                <w:szCs w:val="22"/>
              </w:rPr>
              <w:t>Muzeum Prahy</w:t>
            </w:r>
          </w:p>
        </w:tc>
      </w:tr>
      <w:tr w:rsidR="008606BE" w:rsidRPr="008606BE" w14:paraId="36BF2E6D" w14:textId="77777777" w:rsidTr="00F31436">
        <w:tc>
          <w:tcPr>
            <w:tcW w:w="4890" w:type="dxa"/>
          </w:tcPr>
          <w:p w14:paraId="485FC596" w14:textId="77777777" w:rsidR="008606BE" w:rsidRPr="00527B6F" w:rsidRDefault="001A01BC" w:rsidP="006918B6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918B6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vokát</w:t>
            </w:r>
          </w:p>
        </w:tc>
        <w:tc>
          <w:tcPr>
            <w:tcW w:w="5103" w:type="dxa"/>
          </w:tcPr>
          <w:p w14:paraId="1D2BDCB8" w14:textId="77777777" w:rsidR="008606BE" w:rsidRPr="001A01BC" w:rsidRDefault="001A01BC" w:rsidP="001A01BC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01BC">
              <w:rPr>
                <w:rFonts w:ascii="Arial" w:hAnsi="Arial" w:cs="Arial"/>
                <w:b/>
                <w:sz w:val="22"/>
                <w:szCs w:val="22"/>
              </w:rPr>
              <w:t>Klient</w:t>
            </w:r>
          </w:p>
        </w:tc>
      </w:tr>
    </w:tbl>
    <w:p w14:paraId="5F64CC2F" w14:textId="77777777" w:rsidR="00F31436" w:rsidRPr="008606BE" w:rsidRDefault="00F31436" w:rsidP="00F31436">
      <w:pPr>
        <w:spacing w:line="360" w:lineRule="auto"/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F31436">
        <w:rPr>
          <w:rFonts w:ascii="Arial" w:hAnsi="Arial" w:cs="Arial"/>
          <w:sz w:val="22"/>
          <w:szCs w:val="22"/>
        </w:rPr>
        <w:t xml:space="preserve"> </w:t>
      </w:r>
    </w:p>
    <w:p w14:paraId="38FA16F1" w14:textId="77777777" w:rsidR="00F31436" w:rsidRPr="00F31436" w:rsidRDefault="00F31436" w:rsidP="00F31436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</w:p>
    <w:p w14:paraId="6D4EFCA8" w14:textId="77777777" w:rsidR="006C660E" w:rsidRPr="008606BE" w:rsidRDefault="006C660E" w:rsidP="008606BE">
      <w:pPr>
        <w:pStyle w:val="zkltextcentr12"/>
        <w:spacing w:line="360" w:lineRule="auto"/>
        <w:rPr>
          <w:rFonts w:ascii="Arial" w:hAnsi="Arial" w:cs="Arial"/>
          <w:sz w:val="22"/>
          <w:szCs w:val="22"/>
        </w:rPr>
      </w:pPr>
    </w:p>
    <w:sectPr w:rsidR="006C660E" w:rsidRPr="008606BE">
      <w:type w:val="continuous"/>
      <w:pgSz w:w="11906" w:h="16838"/>
      <w:pgMar w:top="1417" w:right="1133" w:bottom="1417" w:left="1134" w:header="708" w:footer="9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AC16" w14:textId="77777777" w:rsidR="00ED48D2" w:rsidRDefault="00ED48D2">
      <w:r>
        <w:separator/>
      </w:r>
    </w:p>
  </w:endnote>
  <w:endnote w:type="continuationSeparator" w:id="0">
    <w:p w14:paraId="470636F2" w14:textId="77777777" w:rsidR="00ED48D2" w:rsidRDefault="00ED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B1594" w14:textId="77777777" w:rsidR="00E720D1" w:rsidRDefault="00E720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67B245" w14:textId="77777777" w:rsidR="00E720D1" w:rsidRDefault="00E720D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2B978" w14:textId="77777777" w:rsidR="00E720D1" w:rsidRDefault="00E720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666B">
      <w:rPr>
        <w:rStyle w:val="slostrnky"/>
        <w:noProof/>
      </w:rPr>
      <w:t>4</w:t>
    </w:r>
    <w:r>
      <w:rPr>
        <w:rStyle w:val="slostrnky"/>
      </w:rPr>
      <w:fldChar w:fldCharType="end"/>
    </w:r>
  </w:p>
  <w:p w14:paraId="4C2208C9" w14:textId="77777777" w:rsidR="00E720D1" w:rsidRDefault="00E720D1">
    <w:pPr>
      <w:pStyle w:val="Zpat"/>
      <w:framePr w:wrap="around" w:vAnchor="text" w:hAnchor="margin" w:xAlign="right" w:y="1"/>
      <w:rPr>
        <w:rStyle w:val="slostrnky"/>
      </w:rPr>
    </w:pPr>
  </w:p>
  <w:p w14:paraId="50B7D8D7" w14:textId="77777777" w:rsidR="00E720D1" w:rsidRDefault="00E720D1">
    <w:pPr>
      <w:pStyle w:val="Zpat"/>
      <w:framePr w:wrap="around" w:vAnchor="text" w:hAnchor="margin" w:xAlign="center" w:y="1"/>
      <w:ind w:right="360"/>
      <w:rPr>
        <w:rStyle w:val="slostrnky"/>
      </w:rPr>
    </w:pPr>
  </w:p>
  <w:p w14:paraId="3806976F" w14:textId="77777777" w:rsidR="00E720D1" w:rsidRDefault="00E720D1">
    <w:pPr>
      <w:pStyle w:val="Zpat"/>
    </w:pP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20A46" w14:textId="77777777" w:rsidR="00ED48D2" w:rsidRDefault="00ED48D2">
      <w:r>
        <w:separator/>
      </w:r>
    </w:p>
  </w:footnote>
  <w:footnote w:type="continuationSeparator" w:id="0">
    <w:p w14:paraId="63C75745" w14:textId="77777777" w:rsidR="00ED48D2" w:rsidRDefault="00ED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02E21"/>
    <w:multiLevelType w:val="multilevel"/>
    <w:tmpl w:val="DC86825C"/>
    <w:lvl w:ilvl="0">
      <w:start w:val="1"/>
      <w:numFmt w:val="upperRoman"/>
      <w:pStyle w:val="slolnku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4"/>
      </w:rPr>
    </w:lvl>
    <w:lvl w:ilvl="2"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9853012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215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723529249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526F32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6F1A12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7AF02824"/>
    <w:multiLevelType w:val="hybridMultilevel"/>
    <w:tmpl w:val="72FEEBE0"/>
    <w:lvl w:ilvl="0" w:tplc="7A462A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6343449">
    <w:abstractNumId w:val="0"/>
  </w:num>
  <w:num w:numId="2" w16cid:durableId="537473908">
    <w:abstractNumId w:val="0"/>
    <w:lvlOverride w:ilvl="0">
      <w:startOverride w:val="2"/>
    </w:lvlOverride>
    <w:lvlOverride w:ilvl="1">
      <w:startOverride w:val="1"/>
    </w:lvlOverride>
  </w:num>
  <w:num w:numId="3" w16cid:durableId="49227597">
    <w:abstractNumId w:val="0"/>
    <w:lvlOverride w:ilvl="0">
      <w:startOverride w:val="2"/>
    </w:lvlOverride>
    <w:lvlOverride w:ilvl="1">
      <w:startOverride w:val="1"/>
    </w:lvlOverride>
  </w:num>
  <w:num w:numId="4" w16cid:durableId="944965217">
    <w:abstractNumId w:val="0"/>
  </w:num>
  <w:num w:numId="5" w16cid:durableId="2143765612">
    <w:abstractNumId w:val="3"/>
  </w:num>
  <w:num w:numId="6" w16cid:durableId="1771391891">
    <w:abstractNumId w:val="1"/>
  </w:num>
  <w:num w:numId="7" w16cid:durableId="277761409">
    <w:abstractNumId w:val="2"/>
  </w:num>
  <w:num w:numId="8" w16cid:durableId="2113352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550747">
    <w:abstractNumId w:val="0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>
      <w:startOverride w:val="29853012"/>
    </w:lvlOverride>
    <w:lvlOverride w:ilvl="7">
      <w:startOverride w:val="1215"/>
    </w:lvlOverride>
    <w:lvlOverride w:ilvl="8">
      <w:startOverride w:val="723529249"/>
    </w:lvlOverride>
  </w:num>
  <w:num w:numId="10" w16cid:durableId="163324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C3"/>
    <w:rsid w:val="000011E2"/>
    <w:rsid w:val="00072CC3"/>
    <w:rsid w:val="00076FE1"/>
    <w:rsid w:val="00082711"/>
    <w:rsid w:val="00087EBA"/>
    <w:rsid w:val="00090290"/>
    <w:rsid w:val="00093A68"/>
    <w:rsid w:val="0009726C"/>
    <w:rsid w:val="00115750"/>
    <w:rsid w:val="00131951"/>
    <w:rsid w:val="00140F45"/>
    <w:rsid w:val="00154C23"/>
    <w:rsid w:val="0019155E"/>
    <w:rsid w:val="001A01BC"/>
    <w:rsid w:val="001A2CD4"/>
    <w:rsid w:val="001F1B68"/>
    <w:rsid w:val="0038325E"/>
    <w:rsid w:val="003D6381"/>
    <w:rsid w:val="0041090B"/>
    <w:rsid w:val="004335C6"/>
    <w:rsid w:val="00472C77"/>
    <w:rsid w:val="004B4468"/>
    <w:rsid w:val="004D142F"/>
    <w:rsid w:val="0052666B"/>
    <w:rsid w:val="00527B6F"/>
    <w:rsid w:val="00533F4D"/>
    <w:rsid w:val="00590B8F"/>
    <w:rsid w:val="00637325"/>
    <w:rsid w:val="00672179"/>
    <w:rsid w:val="006918B6"/>
    <w:rsid w:val="00692F34"/>
    <w:rsid w:val="006B2DCC"/>
    <w:rsid w:val="006C660E"/>
    <w:rsid w:val="007018FB"/>
    <w:rsid w:val="00746E7E"/>
    <w:rsid w:val="00762542"/>
    <w:rsid w:val="00784B3C"/>
    <w:rsid w:val="008606BE"/>
    <w:rsid w:val="008D36A4"/>
    <w:rsid w:val="009034A1"/>
    <w:rsid w:val="009565D4"/>
    <w:rsid w:val="009922A7"/>
    <w:rsid w:val="009B13AC"/>
    <w:rsid w:val="009B37B1"/>
    <w:rsid w:val="009C2DB2"/>
    <w:rsid w:val="009D518D"/>
    <w:rsid w:val="009E5A5A"/>
    <w:rsid w:val="00A13490"/>
    <w:rsid w:val="00A456F0"/>
    <w:rsid w:val="00A84D2A"/>
    <w:rsid w:val="00A85BC1"/>
    <w:rsid w:val="00A977BB"/>
    <w:rsid w:val="00AE2B0A"/>
    <w:rsid w:val="00B14494"/>
    <w:rsid w:val="00B8070A"/>
    <w:rsid w:val="00BA1DEE"/>
    <w:rsid w:val="00BB13D2"/>
    <w:rsid w:val="00C26001"/>
    <w:rsid w:val="00C86BC5"/>
    <w:rsid w:val="00C9040F"/>
    <w:rsid w:val="00CB66E6"/>
    <w:rsid w:val="00CC6235"/>
    <w:rsid w:val="00CE712D"/>
    <w:rsid w:val="00D13DF0"/>
    <w:rsid w:val="00D300EE"/>
    <w:rsid w:val="00D5496F"/>
    <w:rsid w:val="00D86C36"/>
    <w:rsid w:val="00D97786"/>
    <w:rsid w:val="00DD0EAC"/>
    <w:rsid w:val="00E20608"/>
    <w:rsid w:val="00E3244F"/>
    <w:rsid w:val="00E50789"/>
    <w:rsid w:val="00E64241"/>
    <w:rsid w:val="00E720D1"/>
    <w:rsid w:val="00E85EA3"/>
    <w:rsid w:val="00E9504A"/>
    <w:rsid w:val="00ED02F4"/>
    <w:rsid w:val="00ED18AF"/>
    <w:rsid w:val="00ED48D2"/>
    <w:rsid w:val="00F31436"/>
    <w:rsid w:val="00F645B6"/>
    <w:rsid w:val="00F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59990"/>
  <w15:docId w15:val="{0CCE9BC9-78EE-4A2C-875A-4A8EBEB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left" w:pos="0"/>
        <w:tab w:val="left" w:pos="284"/>
        <w:tab w:val="left" w:pos="1701"/>
        <w:tab w:val="center" w:pos="4536"/>
        <w:tab w:val="right" w:pos="9072"/>
      </w:tabs>
      <w:jc w:val="both"/>
    </w:pPr>
    <w:rPr>
      <w:szCs w:val="20"/>
    </w:rPr>
  </w:style>
  <w:style w:type="paragraph" w:customStyle="1" w:styleId="slolnku">
    <w:name w:val="Číslo článku"/>
    <w:basedOn w:val="Normln"/>
    <w:next w:val="Nzevlnku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Nzevlnku">
    <w:name w:val="Název článku"/>
    <w:basedOn w:val="slolnku"/>
    <w:next w:val="Textodst1sl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paragraph" w:customStyle="1" w:styleId="Firma">
    <w:name w:val="Firma"/>
    <w:basedOn w:val="Normln"/>
    <w:next w:val="Normln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paragraph" w:customStyle="1" w:styleId="Zhlavcentr8">
    <w:name w:val="Záhlaví centr 8"/>
    <w:basedOn w:val="Zhlav"/>
    <w:pPr>
      <w:jc w:val="center"/>
    </w:pPr>
    <w:rPr>
      <w:sz w:val="16"/>
    </w:rPr>
  </w:style>
  <w:style w:type="paragraph" w:customStyle="1" w:styleId="zkltextcentrbold12">
    <w:name w:val="zákl. text centr bold 12"/>
    <w:basedOn w:val="Firma"/>
    <w:pPr>
      <w:jc w:val="center"/>
    </w:pPr>
  </w:style>
  <w:style w:type="paragraph" w:customStyle="1" w:styleId="zkltextcentr12">
    <w:name w:val="zákl. text centr 12"/>
    <w:basedOn w:val="Firma"/>
    <w:pPr>
      <w:jc w:val="center"/>
    </w:pPr>
    <w:rPr>
      <w:b w:val="0"/>
    </w:rPr>
  </w:style>
  <w:style w:type="paragraph" w:customStyle="1" w:styleId="zkltextblok12">
    <w:name w:val="zákl.text blok 12"/>
    <w:basedOn w:val="Normln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paragraph" w:customStyle="1" w:styleId="smlstrana-daje">
    <w:name w:val="sml.strana - údaje"/>
    <w:basedOn w:val="Normln"/>
    <w:autoRedefine/>
    <w:pPr>
      <w:tabs>
        <w:tab w:val="left" w:pos="0"/>
        <w:tab w:val="left" w:pos="284"/>
        <w:tab w:val="left" w:pos="1843"/>
      </w:tabs>
      <w:jc w:val="both"/>
    </w:pPr>
    <w:rPr>
      <w:szCs w:val="20"/>
    </w:rPr>
  </w:style>
  <w:style w:type="paragraph" w:customStyle="1" w:styleId="Textodst1neslovan">
    <w:name w:val="Text odst.1 nečíslovaný"/>
    <w:basedOn w:val="Textodst2slovan"/>
    <w:pPr>
      <w:numPr>
        <w:ilvl w:val="0"/>
        <w:numId w:val="0"/>
      </w:numPr>
      <w:ind w:left="72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link w:val="ZkladntextChar"/>
    <w:semiHidden/>
    <w:pPr>
      <w:jc w:val="center"/>
    </w:pPr>
    <w:rPr>
      <w:b/>
      <w:color w:val="000000"/>
      <w:sz w:val="60"/>
      <w:szCs w:val="20"/>
    </w:rPr>
  </w:style>
  <w:style w:type="paragraph" w:customStyle="1" w:styleId="Textbodu">
    <w:name w:val="Text bodu"/>
    <w:basedOn w:val="Normln"/>
    <w:pPr>
      <w:numPr>
        <w:ilvl w:val="2"/>
        <w:numId w:val="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7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basedOn w:val="Standardnpsmoodstavce"/>
    <w:rPr>
      <w:vertAlign w:val="superscript"/>
    </w:rPr>
  </w:style>
  <w:style w:type="paragraph" w:customStyle="1" w:styleId="Textodstavce">
    <w:name w:val="Text odstavce"/>
    <w:basedOn w:val="Normln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D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DF0"/>
    <w:rPr>
      <w:rFonts w:ascii="Tahoma" w:hAnsi="Tahoma" w:cs="Tahoma"/>
      <w:sz w:val="16"/>
      <w:szCs w:val="16"/>
    </w:rPr>
  </w:style>
  <w:style w:type="character" w:styleId="Siln">
    <w:name w:val="Strong"/>
    <w:qFormat/>
    <w:rsid w:val="0038325E"/>
    <w:rPr>
      <w:b/>
      <w:bCs/>
    </w:rPr>
  </w:style>
  <w:style w:type="character" w:customStyle="1" w:styleId="platne1">
    <w:name w:val="platne1"/>
    <w:rsid w:val="0038325E"/>
  </w:style>
  <w:style w:type="paragraph" w:styleId="Odstavecseseznamem">
    <w:name w:val="List Paragraph"/>
    <w:basedOn w:val="Normln"/>
    <w:uiPriority w:val="34"/>
    <w:qFormat/>
    <w:rsid w:val="00E3244F"/>
    <w:pPr>
      <w:ind w:left="708"/>
    </w:pPr>
  </w:style>
  <w:style w:type="character" w:customStyle="1" w:styleId="ZhlavChar">
    <w:name w:val="Záhlaví Char"/>
    <w:basedOn w:val="Standardnpsmoodstavce"/>
    <w:link w:val="Zhlav"/>
    <w:semiHidden/>
    <w:rsid w:val="008606BE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2CD4"/>
    <w:rPr>
      <w:b/>
      <w:color w:val="0000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C3F0-EFFA-49D5-9E15-6AA03723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786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PRÁVNÍCH SLUŽEB</vt:lpstr>
    </vt:vector>
  </TitlesOfParts>
  <Company>Hewlett-Packard Company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creator>Petr Řehák</dc:creator>
  <cp:lastModifiedBy>Kateřina Mátlová</cp:lastModifiedBy>
  <cp:revision>3</cp:revision>
  <cp:lastPrinted>2004-09-16T12:21:00Z</cp:lastPrinted>
  <dcterms:created xsi:type="dcterms:W3CDTF">2025-07-07T10:06:00Z</dcterms:created>
  <dcterms:modified xsi:type="dcterms:W3CDTF">2025-07-17T09:49:00Z</dcterms:modified>
</cp:coreProperties>
</file>