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222CF" w:rsidP="0046335C">
      <w:pPr>
        <w:spacing w:after="0" w:line="240" w:lineRule="auto"/>
        <w:rPr>
          <w:rFonts w:cs="Arial"/>
          <w:b/>
        </w:rPr>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5760720" cy="886879"/>
            <wp:effectExtent l="0" t="0" r="0" b="8890"/>
            <wp:wrapNone/>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886879"/>
                    </a:xfrm>
                    <a:prstGeom prst="rect">
                      <a:avLst/>
                    </a:prstGeom>
                  </pic:spPr>
                </pic:pic>
              </a:graphicData>
            </a:graphic>
            <wp14:sizeRelH relativeFrom="page">
              <wp14:pctWidth>0</wp14:pctWidth>
            </wp14:sizeRelH>
            <wp14:sizeRelV relativeFrom="page">
              <wp14:pctHeight>0</wp14:pctHeight>
            </wp14:sizeRelV>
          </wp:anchor>
        </w:drawing>
      </w:r>
    </w:p>
    <w:p w:rsidR="0099648C" w:rsidRDefault="005035E8">
      <w:pPr>
        <w:spacing w:after="0"/>
        <w:ind w:left="120"/>
        <w:jc w:val="right"/>
      </w:pPr>
      <w:r>
        <w:rPr>
          <w:b/>
          <w:color w:val="000000"/>
        </w:rPr>
        <w:t>Číslo spisu: S/03617/JC/25</w:t>
      </w:r>
    </w:p>
    <w:p w:rsidR="0099648C" w:rsidRDefault="005035E8">
      <w:pPr>
        <w:spacing w:after="0"/>
        <w:ind w:left="120"/>
        <w:jc w:val="right"/>
      </w:pPr>
      <w:r>
        <w:rPr>
          <w:b/>
          <w:color w:val="000000"/>
        </w:rPr>
        <w:t>Číslo jednací: 03617/JC/25</w:t>
      </w:r>
    </w:p>
    <w:p w:rsidR="0099648C" w:rsidRDefault="005035E8">
      <w:pPr>
        <w:spacing w:after="0"/>
        <w:ind w:left="120"/>
        <w:jc w:val="right"/>
      </w:pPr>
      <w:r>
        <w:rPr>
          <w:b/>
          <w:color w:val="000000"/>
        </w:rPr>
        <w:t>Číslo akce: 0032/31/25</w:t>
      </w:r>
    </w:p>
    <w:p w:rsidR="0099648C" w:rsidRDefault="005035E8">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w:t>
      </w:r>
      <w:r w:rsidR="005F7058">
        <w:rPr>
          <w:rFonts w:cs="Arial"/>
          <w:b/>
        </w:rPr>
        <w:t>–</w:t>
      </w:r>
      <w:r w:rsidR="00A518EF">
        <w:rPr>
          <w:rFonts w:cs="Arial"/>
          <w:b/>
        </w:rPr>
        <w:t xml:space="preserve"> A</w:t>
      </w:r>
      <w:r w:rsidR="00BA4C51" w:rsidRPr="00C61950">
        <w:rPr>
          <w:rFonts w:cs="Arial"/>
          <w:b/>
        </w:rPr>
        <w:t>gentura ochrany přírody a krajiny České republiky</w:t>
      </w:r>
    </w:p>
    <w:p w:rsidR="00B439A8" w:rsidRDefault="004222CF"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 xml:space="preserve">Kaplanova 1931/1, 148 00 Praha 11 </w:t>
      </w:r>
      <w:r w:rsidR="005F7058">
        <w:rPr>
          <w:rFonts w:cs="Arial"/>
        </w:rPr>
        <w:t>–</w:t>
      </w:r>
      <w:r w:rsidR="00BA4C51" w:rsidRPr="00D33759">
        <w:rPr>
          <w:rFonts w:cs="Arial"/>
        </w:rPr>
        <w:t xml:space="preserve">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5F7058">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Jan Flašar</w:t>
      </w:r>
    </w:p>
    <w:p w:rsidR="0016196F" w:rsidRPr="00A42D75" w:rsidRDefault="00D33759" w:rsidP="005F7058">
      <w:pPr>
        <w:spacing w:before="40" w:after="0" w:line="240" w:lineRule="auto"/>
        <w:ind w:left="2127" w:hanging="2127"/>
        <w:jc w:val="both"/>
        <w:rPr>
          <w:rFonts w:cs="Arial"/>
        </w:rPr>
      </w:pPr>
      <w:r w:rsidRPr="00D33759">
        <w:rPr>
          <w:rFonts w:cs="Arial"/>
        </w:rPr>
        <w:t xml:space="preserve">V rozsahu této smlouvy osoba zmocněná k jednání se zhotovitelem, k věcným úkonům a k převzetí díla: </w:t>
      </w:r>
      <w:r>
        <w:rPr>
          <w:rFonts w:cs="Arial"/>
        </w:rPr>
        <w:t>Mgr. Tereza Rejnková</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5F7058" w:rsidRDefault="004222CF" w:rsidP="004C6EC2">
      <w:pPr>
        <w:spacing w:before="40" w:after="0" w:line="240" w:lineRule="auto"/>
        <w:rPr>
          <w:rFonts w:cs="Arial"/>
        </w:rPr>
      </w:pPr>
      <w:r>
        <w:rPr>
          <w:rFonts w:cs="Arial"/>
          <w:b/>
        </w:rPr>
        <w:t>Petr Pokluda</w:t>
      </w:r>
      <w:r w:rsidR="004C6EC2">
        <w:rPr>
          <w:rFonts w:cs="Arial"/>
        </w:rPr>
        <w:tab/>
      </w:r>
      <w:r w:rsidR="00BC524F">
        <w:rPr>
          <w:rFonts w:cs="Arial"/>
        </w:rPr>
        <w:br/>
      </w:r>
      <w:r w:rsidR="005F7058">
        <w:rPr>
          <w:rFonts w:cs="Arial"/>
        </w:rPr>
        <w:t>Sídlo</w:t>
      </w:r>
      <w:r w:rsidR="00BC524F">
        <w:rPr>
          <w:rFonts w:cs="Arial"/>
        </w:rPr>
        <w:t xml:space="preserve">: </w:t>
      </w:r>
      <w:r w:rsidR="004C6EC2">
        <w:rPr>
          <w:rFonts w:cs="Arial"/>
        </w:rPr>
        <w:tab/>
      </w:r>
      <w:r w:rsidR="004C6EC2">
        <w:rPr>
          <w:rFonts w:cs="Arial"/>
        </w:rPr>
        <w:tab/>
      </w:r>
      <w:r w:rsidR="005F7058">
        <w:rPr>
          <w:rFonts w:cs="Arial"/>
        </w:rPr>
        <w:tab/>
      </w:r>
      <w:bookmarkStart w:id="0" w:name="_GoBack"/>
      <w:bookmarkEnd w:id="0"/>
      <w:r w:rsidR="00BC524F">
        <w:rPr>
          <w:rFonts w:cs="Arial"/>
        </w:rPr>
        <w:t xml:space="preserve"> </w:t>
      </w:r>
    </w:p>
    <w:p w:rsidR="005F7058" w:rsidRPr="002420B8" w:rsidRDefault="005F7058" w:rsidP="005F7058">
      <w:pPr>
        <w:spacing w:before="40" w:after="0" w:line="240" w:lineRule="auto"/>
        <w:rPr>
          <w:rFonts w:cs="Arial"/>
        </w:rPr>
      </w:pPr>
      <w:r>
        <w:rPr>
          <w:rFonts w:cs="Arial"/>
        </w:rPr>
        <w:t xml:space="preserve">IČO: </w:t>
      </w:r>
      <w:r>
        <w:rPr>
          <w:rFonts w:cs="Arial"/>
        </w:rPr>
        <w:tab/>
      </w:r>
      <w:r>
        <w:rPr>
          <w:rFonts w:cs="Arial"/>
        </w:rPr>
        <w:tab/>
      </w:r>
      <w:r>
        <w:rPr>
          <w:rFonts w:cs="Arial"/>
        </w:rPr>
        <w:tab/>
        <w:t xml:space="preserve">00799246  </w:t>
      </w:r>
      <w:r>
        <w:rPr>
          <w:rFonts w:cs="Arial"/>
        </w:rPr>
        <w:br/>
        <w:t>Bankovní účet</w:t>
      </w:r>
      <w:r w:rsidRPr="00A42D75">
        <w:rPr>
          <w:rFonts w:cs="Arial"/>
        </w:rPr>
        <w:t xml:space="preserve">: </w:t>
      </w:r>
      <w:r>
        <w:rPr>
          <w:rFonts w:cs="Arial"/>
        </w:rPr>
        <w:tab/>
      </w:r>
      <w:r>
        <w:t xml:space="preserve"> </w:t>
      </w:r>
    </w:p>
    <w:p w:rsidR="00BB63BC" w:rsidRPr="002420B8" w:rsidRDefault="00BC524F" w:rsidP="005F7058">
      <w:pPr>
        <w:spacing w:before="40" w:after="0" w:line="240" w:lineRule="auto"/>
        <w:rPr>
          <w:rFonts w:cs="Arial"/>
        </w:rPr>
      </w:pPr>
      <w:r>
        <w:rPr>
          <w:rFonts w:cs="Arial"/>
        </w:rPr>
        <w:t>Za</w:t>
      </w:r>
      <w:r w:rsidR="004C6EC2">
        <w:rPr>
          <w:rFonts w:cs="Arial"/>
        </w:rPr>
        <w:t>s</w:t>
      </w:r>
      <w:r w:rsidR="005F7058">
        <w:rPr>
          <w:rFonts w:cs="Arial"/>
        </w:rPr>
        <w:t>toupený</w:t>
      </w:r>
      <w:r w:rsidR="004C6EC2">
        <w:rPr>
          <w:rFonts w:cs="Arial"/>
        </w:rPr>
        <w:t>:</w:t>
      </w:r>
      <w:r>
        <w:rPr>
          <w:rFonts w:cs="Arial"/>
        </w:rPr>
        <w:t xml:space="preserve"> </w:t>
      </w:r>
      <w:r w:rsidR="004C6EC2">
        <w:rPr>
          <w:rFonts w:cs="Arial"/>
        </w:rPr>
        <w:tab/>
      </w:r>
      <w:r w:rsidR="004C6EC2">
        <w:rPr>
          <w:rFonts w:cs="Arial"/>
        </w:rPr>
        <w:tab/>
      </w:r>
      <w:r w:rsidRPr="004C6EC2">
        <w:rPr>
          <w:rFonts w:cs="Arial"/>
        </w:rPr>
        <w:br/>
      </w:r>
      <w:r w:rsidR="00BA4C51" w:rsidRPr="002420B8">
        <w:rPr>
          <w:rFonts w:cs="Arial"/>
        </w:rPr>
        <w:t>(</w:t>
      </w:r>
      <w:r w:rsidR="00BA4C51" w:rsidRPr="002420B8">
        <w:rPr>
          <w:rFonts w:cs="Arial"/>
          <w:b/>
        </w:rPr>
        <w:t>dále jen</w:t>
      </w:r>
      <w:r w:rsidR="00BA4C51" w:rsidRPr="002420B8">
        <w:rPr>
          <w:rFonts w:cs="Arial"/>
        </w:rPr>
        <w:t xml:space="preserve"> „</w:t>
      </w:r>
      <w:r w:rsidR="00BA4C51" w:rsidRPr="002420B8">
        <w:rPr>
          <w:rFonts w:cs="Arial"/>
          <w:b/>
        </w:rPr>
        <w:t>zhotovitel</w:t>
      </w:r>
      <w:r w:rsidR="00BA4C51"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BA4C51" w:rsidRPr="00C264BF" w:rsidRDefault="00BA4C51" w:rsidP="00022A25">
      <w:pPr>
        <w:pStyle w:val="Odstavecseseznamem"/>
        <w:numPr>
          <w:ilvl w:val="0"/>
          <w:numId w:val="0"/>
        </w:numPr>
        <w:spacing w:before="120" w:after="0"/>
        <w:ind w:left="357"/>
      </w:pPr>
      <w:r w:rsidRPr="00C264BF">
        <w:t xml:space="preserve">Dílem </w:t>
      </w:r>
      <w:r w:rsidR="009F14EA">
        <w:t>se rozumí:</w:t>
      </w:r>
      <w:r w:rsidR="00AD6D5F">
        <w:t xml:space="preserve"> </w:t>
      </w:r>
      <w:r w:rsidR="004222CF" w:rsidRPr="005F7058">
        <w:rPr>
          <w:b/>
        </w:rPr>
        <w:t>Ruční kosení Vyšenský mokřad</w:t>
      </w:r>
      <w:r w:rsidR="005F7058" w:rsidRPr="005F7058">
        <w:rPr>
          <w:b/>
        </w:rPr>
        <w:t xml:space="preserve"> </w:t>
      </w:r>
      <w:r w:rsidR="00D33759" w:rsidRPr="00D33759">
        <w:t>(dále jen „dílo“)</w:t>
      </w:r>
      <w:r w:rsidR="005F7058">
        <w:t>.</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222CF"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lastRenderedPageBreak/>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5F7058" w:rsidP="008B2D0A">
      <w:pPr>
        <w:pStyle w:val="Odstavecseseznamem"/>
        <w:numPr>
          <w:ilvl w:val="0"/>
          <w:numId w:val="0"/>
        </w:numPr>
        <w:ind w:left="360"/>
      </w:pPr>
      <w:r>
        <w:t>Cena díla: 80 556,38 Kč</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80 556,38</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005F7058">
        <w:t>převzetí díla (v </w:t>
      </w:r>
      <w:r w:rsidRPr="00C264BF">
        <w:t xml:space="preserve">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w:t>
      </w:r>
      <w:r w:rsidR="005F7058">
        <w:t>okladu (faktury) a objednatel v </w:t>
      </w:r>
      <w:r w:rsidRPr="00636EFD">
        <w:t>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5F7058" w:rsidRDefault="00BA4C51" w:rsidP="00FF5FC6">
      <w:pPr>
        <w:pStyle w:val="Odstavecseseznamem"/>
        <w:rPr>
          <w:b/>
        </w:rPr>
      </w:pPr>
      <w:r w:rsidRPr="00FF5FC6">
        <w:t xml:space="preserve">Zhotovitel se zavazuje provést dílo a předat jej objednateli nejpozději </w:t>
      </w:r>
      <w:r w:rsidRPr="005F7058">
        <w:rPr>
          <w:b/>
        </w:rPr>
        <w:t>do</w:t>
      </w:r>
      <w:r w:rsidR="00642697" w:rsidRPr="005F7058">
        <w:rPr>
          <w:b/>
        </w:rPr>
        <w:t xml:space="preserve">: </w:t>
      </w:r>
      <w:r w:rsidRPr="005F7058">
        <w:rPr>
          <w:b/>
        </w:rPr>
        <w:t>30.09.2025.</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Místem plnění j</w:t>
      </w:r>
      <w:r w:rsidR="005F7058">
        <w:t>sou tyto</w:t>
      </w:r>
      <w:r w:rsidRPr="00FF5FC6">
        <w:t xml:space="preserve"> </w:t>
      </w:r>
      <w:r>
        <w:t>parcely v k.ú. Vyšný</w:t>
      </w:r>
      <w:r w:rsidR="005F7058">
        <w:t>:</w:t>
      </w:r>
      <w:r>
        <w:t xml:space="preserve"> p.č. 450/2, 520/29, 520/31, 520/32, 520/36, 522/2, 522/5</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zhotovitele</w:t>
      </w:r>
      <w:r w:rsidR="005F7058">
        <w:t xml:space="preserve"> na tuto skutečnost upozornit a </w:t>
      </w:r>
      <w:r w:rsidRPr="00E25709">
        <w:t>dožadovat se provádění díla řádným způsobem. Jestliže tak zhotovitel neučiní ani v</w:t>
      </w:r>
      <w:r>
        <w:t>e</w:t>
      </w:r>
      <w:r w:rsidRPr="00E25709">
        <w:t xml:space="preserve"> lhůtě </w:t>
      </w:r>
      <w:r w:rsidRPr="00F25CD8">
        <w:t xml:space="preserve">mu </w:t>
      </w:r>
      <w:r w:rsidRPr="00F25CD8">
        <w:lastRenderedPageBreak/>
        <w:t>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w:t>
      </w:r>
      <w:r w:rsidR="005F7058">
        <w:t>edeno, jak se projevují. Dále v </w:t>
      </w:r>
      <w:r w:rsidRPr="00C264BF">
        <w:t>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5F7058" w:rsidRDefault="00BA4C51" w:rsidP="007127DA">
      <w:pPr>
        <w:pStyle w:val="Odstavecseseznamem"/>
      </w:pPr>
      <w:r w:rsidRPr="00C264BF">
        <w:t xml:space="preserve">Zhotovitel poskytuje na dílo záruku v délce </w:t>
      </w:r>
      <w:r>
        <w:t>12</w:t>
      </w:r>
      <w:r w:rsidR="008A4600">
        <w:t xml:space="preserve"> </w:t>
      </w:r>
      <w:r w:rsidRPr="00C264BF">
        <w:t xml:space="preserve">měsíců. </w:t>
      </w:r>
    </w:p>
    <w:p w:rsidR="00BA4C51" w:rsidRPr="00C264BF" w:rsidRDefault="00BA4C51" w:rsidP="007127DA">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w:t>
      </w:r>
      <w:r w:rsidR="005F7058">
        <w:t>ila mimořádná nepředvídatelná a </w:t>
      </w:r>
      <w:r w:rsidRPr="00E62AC6">
        <w:t>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5F7058"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w:t>
      </w:r>
      <w:r w:rsidR="005F7058">
        <w:t>ho zpřístupnění podle zákona č. </w:t>
      </w:r>
      <w:r w:rsidRPr="00C264BF">
        <w:t>106/1999 Sb., o svobodném přístupu k informacím, ve zněn</w:t>
      </w:r>
      <w:r w:rsidR="005F7058">
        <w:t>í pozdějších předpisů a tímto s </w:t>
      </w:r>
      <w:r w:rsidRPr="005F7058">
        <w:t>uveřejněním či zpřístupněním podle výše uvedených právních předpisů souhlasí.</w:t>
      </w:r>
    </w:p>
    <w:p w:rsidR="006B6135" w:rsidRPr="005F7058" w:rsidRDefault="006B6135" w:rsidP="00D33759">
      <w:pPr>
        <w:pStyle w:val="Odstavecseseznamem"/>
      </w:pPr>
      <w:r w:rsidRPr="005F7058">
        <w:t>Smlouva je vyhotovena ve dvou stejnopisech, z nichž každý má platnost originálu. Každá ze smluvních stran obdrží jeden stejnopis.</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w:t>
      </w:r>
      <w:r w:rsidR="005F7058">
        <w:t>mlouvy včetně jejich příloh a s </w:t>
      </w:r>
      <w:r w:rsidRPr="00C264BF">
        <w:t>celým obsahem smlouvy souhlasí. Současně prohlašují, že</w:t>
      </w:r>
      <w:r w:rsidR="005F7058">
        <w:t xml:space="preserve"> tato smlouva nebyla sjednána v </w:t>
      </w:r>
      <w:r w:rsidRPr="00C264BF">
        <w:t>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5F7058" w:rsidRDefault="004B7641" w:rsidP="00D33759">
      <w:pPr>
        <w:pStyle w:val="Nadpis2"/>
        <w:numPr>
          <w:ilvl w:val="0"/>
          <w:numId w:val="0"/>
        </w:numPr>
        <w:rPr>
          <w:b/>
        </w:rPr>
      </w:pPr>
      <w:r w:rsidRPr="005F7058">
        <w:rPr>
          <w:b/>
        </w:rPr>
        <w:t xml:space="preserve">      </w:t>
      </w:r>
      <w:r w:rsidR="00BA4C51" w:rsidRPr="005F7058">
        <w:rPr>
          <w:b/>
        </w:rPr>
        <w:t xml:space="preserve">Příloha č. 1 – </w:t>
      </w:r>
      <w:r w:rsidR="00A25105" w:rsidRPr="005F7058">
        <w:rPr>
          <w:b/>
        </w:rPr>
        <w:t>Rozpočet a specifikace</w:t>
      </w:r>
      <w:r w:rsidR="005F7058">
        <w:rPr>
          <w:b/>
        </w:rPr>
        <w:t xml:space="preserve"> opatření</w:t>
      </w:r>
      <w:r w:rsidR="00BA4C51" w:rsidRPr="005F7058">
        <w:rPr>
          <w:b/>
        </w:rPr>
        <w:t>.</w:t>
      </w:r>
      <w:r w:rsidR="00BA4C51" w:rsidRPr="005F7058">
        <w:rPr>
          <w:b/>
        </w:rPr>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lastRenderedPageBreak/>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BA4C51" w:rsidP="00BC08E9">
            <w:pPr>
              <w:rPr>
                <w:rFonts w:cs="Arial"/>
              </w:rPr>
            </w:pPr>
            <w:r w:rsidRPr="00C264BF">
              <w:rPr>
                <w:rFonts w:cs="Arial"/>
              </w:rPr>
              <w:t xml:space="preserve"> </w:t>
            </w:r>
            <w:r w:rsidR="00876C8D"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222CF" w:rsidP="00BC08E9">
            <w:pPr>
              <w:jc w:val="center"/>
              <w:rPr>
                <w:rFonts w:cs="Arial"/>
              </w:rPr>
            </w:pPr>
            <w:r>
              <w:rPr>
                <w:rFonts w:cs="Arial"/>
              </w:rPr>
              <w:t>RNDr. Jan Flašar</w:t>
            </w:r>
          </w:p>
          <w:p w:rsidR="00876C8D" w:rsidRDefault="004222CF" w:rsidP="00162206">
            <w:pPr>
              <w:spacing w:after="120"/>
              <w:jc w:val="center"/>
              <w:rPr>
                <w:rFonts w:cs="Arial"/>
              </w:rPr>
            </w:pPr>
            <w:r>
              <w:rPr>
                <w:rFonts w:cs="Arial"/>
              </w:rPr>
              <w:t>Regionální pracoviště Jižní Čechy</w:t>
            </w:r>
          </w:p>
        </w:tc>
        <w:tc>
          <w:tcPr>
            <w:tcW w:w="4667" w:type="dxa"/>
            <w:gridSpan w:val="2"/>
          </w:tcPr>
          <w:p w:rsidR="00876C8D" w:rsidRDefault="004222CF" w:rsidP="00BC08E9">
            <w:pPr>
              <w:jc w:val="center"/>
              <w:rPr>
                <w:rFonts w:cs="Arial"/>
              </w:rPr>
            </w:pPr>
            <w:r>
              <w:rPr>
                <w:rFonts w:cs="Arial"/>
              </w:rPr>
              <w:t>Petr Pokluda</w:t>
            </w:r>
          </w:p>
        </w:tc>
      </w:tr>
    </w:tbl>
    <w:p w:rsidR="0037433A" w:rsidRPr="00C264BF" w:rsidRDefault="0037433A">
      <w:pPr>
        <w:rPr>
          <w:rFonts w:cs="Arial"/>
        </w:rPr>
      </w:pPr>
    </w:p>
    <w:sectPr w:rsidR="0037433A" w:rsidRPr="00C264BF" w:rsidSect="005F7058">
      <w:headerReference w:type="even" r:id="rId11"/>
      <w:headerReference w:type="default" r:id="rId12"/>
      <w:footerReference w:type="default" r:id="rId13"/>
      <w:footerReference w:type="first" r:id="rId14"/>
      <w:pgSz w:w="11906" w:h="16838"/>
      <w:pgMar w:top="1134"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B0" w:rsidRDefault="002019B0" w:rsidP="008B2D0A">
      <w:pPr>
        <w:spacing w:after="0" w:line="240" w:lineRule="auto"/>
      </w:pPr>
      <w:r>
        <w:separator/>
      </w:r>
    </w:p>
  </w:endnote>
  <w:endnote w:type="continuationSeparator" w:id="0">
    <w:p w:rsidR="002019B0" w:rsidRDefault="002019B0"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58" w:rsidRDefault="005F7058" w:rsidP="005F7058">
    <w:pPr>
      <w:pStyle w:val="Zpat"/>
      <w:jc w:val="center"/>
    </w:pPr>
    <w:r>
      <w:fldChar w:fldCharType="begin"/>
    </w:r>
    <w:r>
      <w:instrText xml:space="preserve"> PAGE   \* MERGEFORMAT </w:instrText>
    </w:r>
    <w:r>
      <w:fldChar w:fldCharType="separate"/>
    </w:r>
    <w:r>
      <w:rPr>
        <w:noProof/>
      </w:rPr>
      <w:t>4</w:t>
    </w:r>
    <w:r>
      <w:fldChar w:fldCharType="end"/>
    </w:r>
    <w:r>
      <w:t>/</w:t>
    </w:r>
    <w:r w:rsidR="002019B0">
      <w:fldChar w:fldCharType="begin"/>
    </w:r>
    <w:r w:rsidR="002019B0">
      <w:instrText xml:space="preserve"> NUMPAGES   \* MERGEFORMAT </w:instrText>
    </w:r>
    <w:r w:rsidR="002019B0">
      <w:fldChar w:fldCharType="separate"/>
    </w:r>
    <w:r>
      <w:rPr>
        <w:noProof/>
      </w:rPr>
      <w:t>5</w:t>
    </w:r>
    <w:r w:rsidR="002019B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58" w:rsidRDefault="005F7058" w:rsidP="005F7058">
    <w:pPr>
      <w:pStyle w:val="Zpat"/>
      <w:jc w:val="center"/>
    </w:pPr>
    <w:r>
      <w:fldChar w:fldCharType="begin"/>
    </w:r>
    <w:r>
      <w:instrText xml:space="preserve"> PAGE   \* MERGEFORMAT </w:instrText>
    </w:r>
    <w:r>
      <w:fldChar w:fldCharType="separate"/>
    </w:r>
    <w:r>
      <w:rPr>
        <w:noProof/>
      </w:rPr>
      <w:t>1</w:t>
    </w:r>
    <w:r>
      <w:fldChar w:fldCharType="end"/>
    </w:r>
    <w:r>
      <w:t>/</w:t>
    </w:r>
    <w:r w:rsidR="002019B0">
      <w:fldChar w:fldCharType="begin"/>
    </w:r>
    <w:r w:rsidR="002019B0">
      <w:instrText xml:space="preserve"> NUMPAGES   \* MERGEFORMAT </w:instrText>
    </w:r>
    <w:r w:rsidR="002019B0">
      <w:fldChar w:fldCharType="separate"/>
    </w:r>
    <w:r>
      <w:rPr>
        <w:noProof/>
      </w:rPr>
      <w:t>5</w:t>
    </w:r>
    <w:r w:rsidR="002019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B0" w:rsidRDefault="002019B0" w:rsidP="008B2D0A">
      <w:pPr>
        <w:spacing w:after="0" w:line="240" w:lineRule="auto"/>
      </w:pPr>
      <w:r>
        <w:separator/>
      </w:r>
    </w:p>
  </w:footnote>
  <w:footnote w:type="continuationSeparator" w:id="0">
    <w:p w:rsidR="002019B0" w:rsidRDefault="002019B0"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019B0"/>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4086A"/>
    <w:rsid w:val="00366B20"/>
    <w:rsid w:val="0037433A"/>
    <w:rsid w:val="003B4E32"/>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035E8"/>
    <w:rsid w:val="00523798"/>
    <w:rsid w:val="00536EC3"/>
    <w:rsid w:val="0054061D"/>
    <w:rsid w:val="005538E6"/>
    <w:rsid w:val="0056079B"/>
    <w:rsid w:val="00570512"/>
    <w:rsid w:val="005710A3"/>
    <w:rsid w:val="0057727A"/>
    <w:rsid w:val="005A2B54"/>
    <w:rsid w:val="005F29F3"/>
    <w:rsid w:val="005F7058"/>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9648C"/>
    <w:rsid w:val="009C5424"/>
    <w:rsid w:val="009F14EA"/>
    <w:rsid w:val="00A07F67"/>
    <w:rsid w:val="00A14B20"/>
    <w:rsid w:val="00A25105"/>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140</TotalTime>
  <Pages>5</Pages>
  <Words>1645</Words>
  <Characters>9706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91</cp:revision>
  <dcterms:created xsi:type="dcterms:W3CDTF">2023-07-26T15:17:00Z</dcterms:created>
  <dcterms:modified xsi:type="dcterms:W3CDTF">2025-07-02T15:25:00Z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