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851" w:footer="0" w:bottom="993" w:gutter="0"/>
          <w:pgNumType w:fmt="decimal"/>
          <w:formProt w:val="false"/>
          <w:textDirection w:val="lrTb"/>
          <w:docGrid w:type="default" w:linePitch="249" w:charSpace="2047"/>
        </w:sectPr>
      </w:pPr>
    </w:p>
    <w:p>
      <w:pPr>
        <w:pStyle w:val="Vchoz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/>
          <w:sz w:val="20"/>
          <w:szCs w:val="20"/>
          <w:u w:val="none" w:color="001480"/>
        </w:rPr>
      </w:pPr>
      <w:r>
        <w:rPr>
          <w:rFonts w:ascii="Arial" w:hAnsi="Arial"/>
          <w:sz w:val="20"/>
          <w:szCs w:val="20"/>
          <w:u w:val="none" w:color="00148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1257300" cy="1152525"/>
            <wp:effectExtent l="0" t="0" r="0" b="0"/>
            <wp:wrapNone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32"/>
          <w:szCs w:val="32"/>
        </w:rPr>
        <w:tab/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32"/>
          <w:szCs w:val="32"/>
        </w:rPr>
        <w:tab/>
        <w:tab/>
        <w:t>Smlouva o spolupráci na realizaci akce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color w:val="CE222B"/>
          <w:sz w:val="22"/>
          <w:szCs w:val="22"/>
          <w:u w:val="none" w:color="000080"/>
        </w:rPr>
        <w:tab/>
        <w:tab/>
        <w:tab/>
      </w:r>
    </w:p>
    <w:p>
      <w:pPr>
        <w:pStyle w:val="Normal"/>
        <w:jc w:val="both"/>
        <w:rPr>
          <w:rFonts w:ascii="Arial" w:hAnsi="Arial"/>
          <w:b/>
          <w:b/>
          <w:bCs/>
          <w:color w:val="CE222B"/>
          <w:sz w:val="22"/>
          <w:szCs w:val="22"/>
          <w:u w:val="none" w:color="000080"/>
        </w:rPr>
      </w:pPr>
      <w:r>
        <w:rPr>
          <w:rFonts w:ascii="Arial" w:hAnsi="Arial"/>
          <w:b/>
          <w:bCs/>
          <w:color w:val="CE222B"/>
          <w:sz w:val="22"/>
          <w:szCs w:val="22"/>
          <w:u w:val="none" w:color="000080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CE222B"/>
          <w:sz w:val="22"/>
          <w:szCs w:val="22"/>
          <w:u w:val="none" w:color="000080"/>
        </w:rPr>
      </w:pPr>
      <w:r>
        <w:rPr>
          <w:rFonts w:ascii="Arial" w:hAnsi="Arial"/>
          <w:b/>
          <w:bCs/>
          <w:color w:val="CE222B"/>
          <w:sz w:val="22"/>
          <w:szCs w:val="22"/>
          <w:u w:val="none" w:color="000080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CE222B"/>
          <w:sz w:val="22"/>
          <w:szCs w:val="22"/>
          <w:u w:val="none" w:color="000080"/>
        </w:rPr>
      </w:pPr>
      <w:r>
        <w:rPr>
          <w:rFonts w:ascii="Arial" w:hAnsi="Arial"/>
          <w:b/>
          <w:bCs/>
          <w:color w:val="CE222B"/>
          <w:sz w:val="22"/>
          <w:szCs w:val="22"/>
          <w:u w:val="none" w:color="000080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CE222B"/>
          <w:sz w:val="22"/>
          <w:szCs w:val="22"/>
          <w:u w:val="none" w:color="000080"/>
        </w:rPr>
      </w:pPr>
      <w:r>
        <w:rPr>
          <w:rFonts w:ascii="Arial" w:hAnsi="Arial"/>
          <w:b/>
          <w:bCs/>
          <w:color w:val="CE222B"/>
          <w:sz w:val="22"/>
          <w:szCs w:val="22"/>
          <w:u w:val="none" w:color="000080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u w:val="none" w:color="000080"/>
        </w:rPr>
        <w:t>1. Spolek pro zachování kulturního dědictví historie a romantiky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color w:val="000000"/>
          <w:sz w:val="22"/>
          <w:szCs w:val="22"/>
        </w:rPr>
        <w:t xml:space="preserve">se sídlem/místem podnikání/bytem: Slezskoostravský hrad, </w:t>
      </w:r>
      <w:r>
        <w:rPr>
          <w:rFonts w:ascii="Arial" w:hAnsi="Arial"/>
          <w:sz w:val="22"/>
          <w:szCs w:val="22"/>
        </w:rPr>
        <w:t xml:space="preserve">ul. Hradní, 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710 00 Slezská Ostrava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27030261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tel: 737 527 437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 :  210636728 / 0300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(dále jen 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Společnost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2. Národní dům Frýdek-Místek</w:t>
      </w:r>
      <w:r>
        <w:rPr>
          <w:rFonts w:cs="Arial" w:ascii="Arial" w:hAnsi="Arial"/>
          <w:bCs/>
          <w:sz w:val="22"/>
          <w:szCs w:val="22"/>
        </w:rPr>
        <w:t xml:space="preserve"> “příspěvková organizace“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color w:val="000000"/>
          <w:sz w:val="22"/>
          <w:szCs w:val="22"/>
        </w:rPr>
        <w:t>se sídlem/místem podnikání/bytem:</w:t>
      </w:r>
      <w:r>
        <w:rPr>
          <w:rFonts w:cs="Arial" w:ascii="Arial" w:hAnsi="Arial"/>
          <w:bCs/>
          <w:sz w:val="22"/>
          <w:szCs w:val="22"/>
        </w:rPr>
        <w:t>Palackého 134, 738 01 Frýdek-Místek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IČ: 70632405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DIČ: CZ70632405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organizace zapsaná v obchodním rejstříku vedeného u KS v Ostravě, oddíl Pr., vložka 80 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zastoupena: Bc. Jakubem Tichým, ředitelem organizace</w:t>
      </w:r>
    </w:p>
    <w:p>
      <w:pPr>
        <w:pStyle w:val="Normal"/>
        <w:ind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bankovní spojení: ČSOB, </w:t>
        <w:tab/>
        <w:t xml:space="preserve">číslo účtu: 244982290/0300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(dále jen 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Objednavatel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12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</w:rPr>
        <w:t xml:space="preserve">uzavřely níže uvedeného dne, měsíce a roku tuto smlouvu (dále jen </w:t>
      </w:r>
      <w:r>
        <w:rPr>
          <w:rFonts w:eastAsia="Calibri" w:cs="Times New Roman" w:ascii="Arial" w:hAnsi="Arial"/>
          <w:b/>
          <w:bCs/>
          <w:color w:val="000000"/>
          <w:sz w:val="22"/>
          <w:szCs w:val="22"/>
        </w:rPr>
        <w:t>„</w:t>
      </w:r>
      <w:r>
        <w:rPr>
          <w:rFonts w:eastAsia="Calibri" w:cs="Times New Roman" w:ascii="Arial" w:hAnsi="Arial"/>
          <w:b/>
          <w:bCs/>
          <w:color w:val="000000"/>
          <w:sz w:val="22"/>
          <w:szCs w:val="22"/>
          <w:lang w:val="en-US"/>
        </w:rPr>
        <w:t>S</w:t>
      </w:r>
      <w:r>
        <w:rPr>
          <w:rFonts w:eastAsia="Calibri" w:cs="Times New Roman" w:ascii="Arial" w:hAnsi="Arial"/>
          <w:b/>
          <w:bCs/>
          <w:color w:val="000000"/>
          <w:sz w:val="22"/>
          <w:szCs w:val="22"/>
        </w:rPr>
        <w:t>mlouva“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  <w:lang w:val="en-US"/>
        </w:rPr>
        <w:t>)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u w:val="none" w:color="000080"/>
        </w:rPr>
        <w:t>Na základě této smlouvy se společnost zavazuje k předvedení pořadu :</w:t>
      </w:r>
    </w:p>
    <w:p>
      <w:pPr>
        <w:pStyle w:val="Normal"/>
        <w:jc w:val="center"/>
        <w:rPr>
          <w:rFonts w:ascii="Arial" w:hAnsi="Arial" w:eastAsia="Arial" w:cs="Arial"/>
          <w:color w:val="000080"/>
          <w:sz w:val="22"/>
          <w:szCs w:val="22"/>
          <w:u w:val="none" w:color="000080"/>
        </w:rPr>
      </w:pPr>
      <w:r>
        <w:rPr>
          <w:rFonts w:eastAsia="Arial" w:cs="Arial" w:ascii="Arial" w:hAnsi="Arial"/>
          <w:color w:val="000080"/>
          <w:sz w:val="22"/>
          <w:szCs w:val="22"/>
          <w:u w:val="none" w:color="000080"/>
        </w:rPr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Datum :</w:t>
        <w:tab/>
        <w:t>So 26. – Ne 27.8. 2017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Název akce :</w:t>
      </w:r>
      <w:r>
        <w:rPr>
          <w:rFonts w:ascii="Arial" w:hAnsi="Arial"/>
          <w:sz w:val="22"/>
          <w:szCs w:val="22"/>
        </w:rPr>
        <w:t xml:space="preserve">  Historické slavnosti</w:t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 xml:space="preserve">Program: </w:t>
      </w:r>
      <w:r>
        <w:rPr>
          <w:rFonts w:ascii="Arial" w:hAnsi="Arial"/>
          <w:sz w:val="22"/>
          <w:szCs w:val="22"/>
        </w:rPr>
        <w:tab/>
        <w:t xml:space="preserve">podrobná specifikace včetně položkového rozpočtu  viz příloha Historický </w:t>
        <w:tab/>
        <w:tab/>
        <w:t xml:space="preserve">program (dále jen </w:t>
      </w:r>
      <w:r>
        <w:rPr>
          <w:rFonts w:eastAsia="Calibri" w:cs="Times New Roman" w:ascii="Arial" w:hAnsi="Arial"/>
          <w:b/>
          <w:bCs/>
          <w:color w:val="000000"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 xml:space="preserve">Příloha </w:t>
      </w:r>
      <w:r>
        <w:rPr>
          <w:rFonts w:eastAsia="Calibri" w:cs="Times New Roman" w:ascii="Arial" w:hAnsi="Arial"/>
          <w:b/>
          <w:bCs/>
          <w:color w:val="000000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>Počet  a styl vystoupení, výprava :</w:t>
      </w:r>
      <w:r>
        <w:rPr>
          <w:rFonts w:ascii="Arial" w:hAnsi="Arial"/>
          <w:sz w:val="22"/>
          <w:szCs w:val="22"/>
        </w:rPr>
        <w:t xml:space="preserve">  viz Příloha </w:t>
      </w:r>
    </w:p>
    <w:p>
      <w:pPr>
        <w:pStyle w:val="Normal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Zkladntextodsazen21"/>
        <w:spacing w:lineRule="auto" w:line="276"/>
        <w:ind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Zkladntextodsazen21"/>
        <w:spacing w:lineRule="auto" w:line="276"/>
        <w:ind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Zkladntextodsazen21"/>
        <w:spacing w:lineRule="auto" w:line="276"/>
        <w:ind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</w:t>
      </w:r>
    </w:p>
    <w:p>
      <w:pPr>
        <w:pStyle w:val="Zkladntextodsazen21"/>
        <w:spacing w:lineRule="auto" w:line="276"/>
        <w:ind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Preambule</w:t>
      </w:r>
    </w:p>
    <w:p>
      <w:pPr>
        <w:pStyle w:val="Normal"/>
        <w:spacing w:lineRule="auto" w:line="276"/>
        <w:ind w:left="284" w:hanging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Objednavatel prohlašuje, že podle platných právních předpisů je zcela oprávněn tuto smlouvu uzavřít a plnit závazky z ní vyplývající a uskutečnit všechny právní úkony a činnosti nezbytné za účelem splnění předmětu této Smlouvy.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Objednavatel dále prohlašuje, že si přeje uzavřít tuto Smlouvu o spolupráci na realizaci akce se Společností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 podmínek sjednaných v této Smlouvě.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Společnost prohlašuje, že je zcela oprávněna tuto smlouvu uzavřít a plnit závazky z ní vyplývající.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spacing w:lineRule="auto" w:line="276"/>
        <w:ind w:left="360" w:hanging="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Předmět smlouvy</w:t>
      </w:r>
    </w:p>
    <w:p>
      <w:pPr>
        <w:pStyle w:val="Normal"/>
        <w:spacing w:lineRule="auto" w:line="276"/>
        <w:ind w:left="360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>
          <w:rFonts w:cs="Arial" w:ascii="Arial" w:hAnsi="Arial"/>
          <w:bCs/>
          <w:sz w:val="22"/>
          <w:szCs w:val="22"/>
        </w:rPr>
        <w:t>1. Předmětem této Smlouvy je spolupráce Smluvních stran</w:t>
      </w:r>
      <w:r>
        <w:rPr>
          <w:rFonts w:cs="Arial" w:ascii="Arial" w:hAnsi="Arial"/>
          <w:sz w:val="22"/>
          <w:szCs w:val="22"/>
        </w:rPr>
        <w:t xml:space="preserve"> na přípravě, propagaci a </w:t>
        <w:tab/>
        <w:t xml:space="preserve">komplexním </w:t>
        <w:tab/>
        <w:t xml:space="preserve">produkčním a dramaturgickém zajištění </w:t>
      </w:r>
      <w:r>
        <w:rPr>
          <w:rFonts w:cs="Arial" w:ascii="Arial" w:hAnsi="Arial"/>
          <w:bCs/>
          <w:sz w:val="22"/>
          <w:szCs w:val="22"/>
        </w:rPr>
        <w:t xml:space="preserve">akce </w:t>
      </w:r>
      <w:r>
        <w:rPr>
          <w:rFonts w:cs="Arial" w:ascii="Arial" w:hAnsi="Arial"/>
          <w:b/>
          <w:bCs/>
          <w:sz w:val="22"/>
          <w:szCs w:val="22"/>
        </w:rPr>
        <w:t>Historické slavnosti</w:t>
      </w:r>
      <w:r>
        <w:rPr>
          <w:rFonts w:cs="Arial" w:ascii="Arial" w:hAnsi="Arial"/>
          <w:sz w:val="22"/>
          <w:szCs w:val="22"/>
        </w:rPr>
        <w:t xml:space="preserve">, </w:t>
        <w:tab/>
        <w:t>která se uskuteční ve Frýdku-Místku v následujících termínech a prostorách: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26. 8. 2017 – náměstí Svobody, Místek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26. 8. 2017 – travnatá plocha za budovou okresního soudu, parcela 3185, 3186, 3187, Frýdek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27.8. 2017 – Zámecké náměstí, Frýdek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Práva a povinnosti Objednavatele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Objednavatel</w:t>
      </w:r>
      <w:bookmarkStart w:id="0" w:name="_GoBack"/>
      <w:bookmarkEnd w:id="0"/>
      <w:r>
        <w:rPr>
          <w:rFonts w:cs="Arial" w:ascii="Arial" w:hAnsi="Arial"/>
          <w:bCs/>
          <w:sz w:val="22"/>
          <w:szCs w:val="22"/>
        </w:rPr>
        <w:t xml:space="preserve"> se v rámci plnění této Smlouvy zavazuje zajistit a na vlastní náklady vypořádat následující: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276"/>
        <w:ind w:left="32" w:hanging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1.  grafický návrh propagačních materiálů k akci a propagaci akce ve všech svých </w:t>
        <w:tab/>
        <w:tab/>
        <w:t>propagačních materiálech a spolupracujících médiích,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 </w:t>
        <w:tab/>
        <w:t>zpřístupnění WC v Křížovém podchodu dne 26. 8. 2017 a  mobilních WC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dne 27. 8. 2017 v rozsahu odpovídajícím charakteru akce,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</w:t>
        <w:tab/>
        <w:t>návoz / odvoz pivních setů  na obě náměstí v množství odpovídajícímu charakteru akce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</w:t>
        <w:tab/>
        <w:t>zdravotní dozor po celou dobu akce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</w:t>
        <w:tab/>
      </w:r>
      <w:r>
        <w:rPr>
          <w:rFonts w:cs="Tahoma" w:ascii="Arial" w:hAnsi="Arial"/>
          <w:color w:val="000000"/>
          <w:sz w:val="22"/>
          <w:szCs w:val="22"/>
        </w:rPr>
        <w:t>vjezd technických vozidel.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cs="Tahoma"/>
          <w:color w:val="000000"/>
        </w:rPr>
      </w:pPr>
      <w:r>
        <w:rPr>
          <w:rFonts w:cs="Tahoma"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360" w:leader="none"/>
        </w:tabs>
        <w:spacing w:lineRule="auto" w:line="276"/>
        <w:ind w:right="0" w:hanging="0"/>
        <w:jc w:val="both"/>
        <w:rPr/>
      </w:pPr>
      <w:r>
        <w:rPr>
          <w:rFonts w:cs="Tahoma" w:ascii="Arial" w:hAnsi="Arial"/>
          <w:color w:val="000000"/>
          <w:sz w:val="22"/>
          <w:szCs w:val="22"/>
        </w:rPr>
        <w:t xml:space="preserve">6. </w:t>
        <w:tab/>
        <w:t xml:space="preserve"> poskytnutí součinnosti s tím, že přiměřeně včas před počátkem uměleckého vystoupení </w:t>
        <w:tab/>
        <w:t xml:space="preserve">seznámí Dodavatele se sociálním zázemím a se základními místními požadavky na </w:t>
        <w:tab/>
        <w:t xml:space="preserve">bezpečnost, zdraví a ochranu majetku, podmínkami požární ochrany a bezpečnostními </w:t>
        <w:tab/>
        <w:t>únikovými cestami.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7.  nahlášení záboru všech použitých ploch na příslušných úřadech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cs="Arial"/>
          <w:bCs/>
          <w:color w:val="00000A"/>
        </w:rPr>
      </w:pPr>
      <w:r>
        <w:rPr>
          <w:rFonts w:cs="Arial"/>
          <w:bCs/>
          <w:color w:val="00000A"/>
        </w:rPr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 xml:space="preserve">8. </w:t>
        <w:tab/>
        <w:t>nahlášení akce na příslušný policejní orgán</w:t>
      </w:r>
    </w:p>
    <w:p>
      <w:pPr>
        <w:pStyle w:val="Normal"/>
        <w:tabs>
          <w:tab w:val="left" w:pos="360" w:leader="none"/>
          <w:tab w:val="left" w:pos="426" w:leader="none"/>
        </w:tabs>
        <w:spacing w:lineRule="auto" w:line="276"/>
        <w:ind w:left="360" w:hanging="0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Práva a povinnosti Společnosti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800000"/>
          <w:sz w:val="22"/>
          <w:szCs w:val="22"/>
        </w:rPr>
      </w:pPr>
      <w:r>
        <w:rPr>
          <w:rFonts w:cs="Arial" w:ascii="Arial" w:hAnsi="Arial"/>
          <w:bCs/>
          <w:color w:val="8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Společnost se v rámci plnění této Smlouvy zavazuje zajistit a na vlastní náklady vypořádat následující: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1. akci po organizační, technické  a personální stránce (pódiová technika, střecha a aparatura a agregát odpovídající charakteru akce,  backstage, výzdoba pódia, zázemí pro zvukaře, technické zajištění stánků, doprava techniky, pyroefekty a jejich příprava, další vše dle </w:t>
        <w:tab/>
        <w:t>Přílohy této Smlouvy)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color w:val="800000"/>
          <w:sz w:val="22"/>
          <w:szCs w:val="22"/>
        </w:rPr>
      </w:pPr>
      <w:r>
        <w:rPr>
          <w:rFonts w:cs="Arial" w:ascii="Arial" w:hAnsi="Arial"/>
          <w:color w:val="800000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2. zajistit akci po programové a produkční stránce (hlavní a doprovodný program, ubytování </w:t>
        <w:tab/>
        <w:t>účinkujících, ohňová show, videomapping a další dle Přílohy této Smlouvy)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</w:t>
      </w:r>
    </w:p>
    <w:p>
      <w:pPr>
        <w:pStyle w:val="Normal"/>
        <w:jc w:val="both"/>
        <w:rPr/>
      </w:pPr>
      <w:r>
        <w:rPr>
          <w:rFonts w:cs="Tahoma" w:ascii="Arial" w:hAnsi="Arial"/>
          <w:sz w:val="22"/>
          <w:szCs w:val="22"/>
        </w:rPr>
        <w:t>1. Objednavatel se zavazuje zaplatit touto smlouvou Společnosti smluvní cenu ve výši     739.000 Kč.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/>
      </w:pPr>
      <w:r>
        <w:rPr>
          <w:rFonts w:cs="Tahoma" w:ascii="Arial" w:hAnsi="Arial"/>
          <w:b/>
          <w:bCs/>
          <w:sz w:val="22"/>
          <w:szCs w:val="22"/>
        </w:rPr>
        <w:t xml:space="preserve">Dohodnutá celková cena vč. DPH tedy činí 739.000 Kč 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/>
      </w:pPr>
      <w:r>
        <w:rPr>
          <w:rFonts w:cs="Tahoma" w:ascii="Arial" w:hAnsi="Arial"/>
          <w:b/>
          <w:bCs/>
          <w:sz w:val="22"/>
          <w:szCs w:val="22"/>
        </w:rPr>
        <w:t>(slovy: Sedmsettřicetdevět_tisíc_korun českých).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tabs>
          <w:tab w:val="left" w:pos="284" w:leader="none"/>
          <w:tab w:val="left" w:pos="360" w:leader="none"/>
        </w:tabs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Forma a termín úhrady</w:t>
      </w:r>
    </w:p>
    <w:p>
      <w:pPr>
        <w:pStyle w:val="Normal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>1.</w:t>
        <w:tab/>
        <w:t>Objednavatel uhradí Společnosti smluvní cenu v celkové výši uvedené v článku IV.</w:t>
      </w:r>
    </w:p>
    <w:p>
      <w:pPr>
        <w:pStyle w:val="Normal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  <w:tab/>
        <w:t>a to: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 w:before="0" w:after="120"/>
        <w:ind w:left="0" w:hanging="0"/>
        <w:contextualSpacing/>
        <w:jc w:val="both"/>
        <w:rPr/>
      </w:pPr>
      <w:r>
        <w:rPr>
          <w:rFonts w:cs="Times New Roman" w:ascii="Arial" w:hAnsi="Arial"/>
          <w:color w:val="000000" w:themeColor="text1"/>
          <w:sz w:val="22"/>
          <w:szCs w:val="22"/>
        </w:rPr>
        <w:t xml:space="preserve">bezhotovostním převodem na číslo účtu Společnosti uvedeného v záhlaví smlouvy 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 w:before="0" w:after="120"/>
        <w:ind w:left="720" w:hanging="0"/>
        <w:contextualSpacing/>
        <w:jc w:val="both"/>
        <w:rPr/>
      </w:pPr>
      <w:r>
        <w:rPr>
          <w:rFonts w:cs="Times New Roman" w:ascii="Arial" w:hAnsi="Arial"/>
          <w:color w:val="000000" w:themeColor="text1"/>
          <w:sz w:val="22"/>
          <w:szCs w:val="22"/>
        </w:rPr>
        <w:tab/>
        <w:t xml:space="preserve">a to do </w:t>
      </w:r>
      <w:r>
        <w:rPr>
          <w:rFonts w:cs="Times New Roman" w:ascii="Arial" w:hAnsi="Arial"/>
          <w:b/>
          <w:bCs/>
          <w:color w:val="000000" w:themeColor="text1"/>
          <w:sz w:val="22"/>
          <w:szCs w:val="22"/>
        </w:rPr>
        <w:t>30</w:t>
      </w:r>
      <w:r>
        <w:rPr>
          <w:rFonts w:cs="Times New Roman" w:ascii="Arial" w:hAnsi="Arial"/>
          <w:b/>
          <w:color w:val="000000" w:themeColor="text1"/>
          <w:sz w:val="22"/>
          <w:szCs w:val="22"/>
        </w:rPr>
        <w:t xml:space="preserve"> dní po skončení akce </w:t>
      </w:r>
      <w:r>
        <w:rPr>
          <w:rFonts w:cs="Times New Roman" w:ascii="Arial" w:hAnsi="Arial"/>
          <w:color w:val="000000" w:themeColor="text1"/>
          <w:sz w:val="22"/>
          <w:szCs w:val="22"/>
        </w:rPr>
        <w:t>na základě této Smlouvy.</w:t>
      </w:r>
    </w:p>
    <w:p>
      <w:pPr>
        <w:pStyle w:val="ListParagraph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 w:before="0" w:after="120"/>
        <w:ind w:left="0" w:hanging="0"/>
        <w:contextualSpacing/>
        <w:jc w:val="both"/>
        <w:rPr>
          <w:rFonts w:ascii="Arial" w:hAnsi="Arial" w:cs="Times New Roman"/>
          <w:color w:val="000000" w:themeColor="text1"/>
          <w:sz w:val="22"/>
          <w:szCs w:val="22"/>
        </w:rPr>
      </w:pPr>
      <w:r>
        <w:rPr>
          <w:rFonts w:cs="Times New Roman" w:ascii="Arial" w:hAnsi="Arial"/>
          <w:color w:val="000000" w:themeColor="text1"/>
          <w:sz w:val="22"/>
          <w:szCs w:val="22"/>
        </w:rPr>
      </w:r>
    </w:p>
    <w:p>
      <w:pPr>
        <w:pStyle w:val="ListParagraph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 w:before="0" w:after="120"/>
        <w:ind w:left="0" w:hanging="0"/>
        <w:contextualSpacing/>
        <w:jc w:val="both"/>
        <w:rPr>
          <w:rFonts w:ascii="Arial" w:hAnsi="Arial" w:cs="Times New Roman"/>
          <w:color w:val="000000" w:themeColor="text1"/>
          <w:sz w:val="22"/>
          <w:szCs w:val="22"/>
        </w:rPr>
      </w:pPr>
      <w:r>
        <w:rPr>
          <w:rFonts w:cs="Times New Roman" w:ascii="Arial" w:hAnsi="Arial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VI.</w:t>
      </w:r>
    </w:p>
    <w:p>
      <w:pPr>
        <w:pStyle w:val="Normal"/>
        <w:ind w:right="0" w:hanging="0"/>
        <w:jc w:val="center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/>
          <w:bCs/>
          <w:color w:val="000000"/>
          <w:sz w:val="22"/>
          <w:szCs w:val="22"/>
          <w:u w:val="none" w:color="000000"/>
        </w:rPr>
        <w:t>Dohodnuté podmínky smlouvy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  <w:t>V případě, že se neuskuteční umělecká akce vinou Dodavatele, je tento povinen uhradit Objednavateli škodu ve výši vzniklých nákladů. V takovém případě nemá Dodavatel nárok na smluvní cenu a ostatní náklady.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Normal"/>
        <w:numPr>
          <w:ilvl w:val="0"/>
          <w:numId w:val="4"/>
        </w:numPr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  <w:t>Neuskuteční-li se vystoupení vinou Objednavatele, uhradí tento Dodavateli škodu ve výši prokázaných nákladů.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Normal"/>
        <w:numPr>
          <w:ilvl w:val="0"/>
          <w:numId w:val="4"/>
        </w:numPr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  <w:t>Bude-li umělecká akce znemožněna v důsledku nepředvídatelné nebo neodvratitelné události, ležící mimo Smluvní strany /viz vyšší moc/, nají obě Smluvní strany od této Smlouvy odstoupit bez nároku na finanční náhradu.</w:t>
      </w:r>
    </w:p>
    <w:p>
      <w:pPr>
        <w:pStyle w:val="Normal"/>
        <w:ind w:left="360" w:right="0" w:hanging="0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Normal"/>
        <w:ind w:left="360" w:right="0" w:hanging="0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</w:r>
    </w:p>
    <w:p>
      <w:pPr>
        <w:pStyle w:val="Normal"/>
        <w:ind w:left="360" w:right="0" w:hanging="0"/>
        <w:rPr>
          <w:rFonts w:ascii="Arial" w:hAnsi="Arial" w:cs="Tahoma"/>
          <w:sz w:val="22"/>
          <w:szCs w:val="22"/>
        </w:rPr>
      </w:pPr>
      <w:r>
        <w:rPr>
          <w:rFonts w:cs="Tahoma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Tahoma"/>
          <w:b/>
          <w:b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/>
          <w:bCs/>
          <w:color w:val="000000"/>
          <w:sz w:val="22"/>
          <w:szCs w:val="22"/>
          <w:u w:val="none" w:color="000000"/>
        </w:rPr>
        <w:t>VII.</w:t>
      </w:r>
    </w:p>
    <w:p>
      <w:pPr>
        <w:pStyle w:val="Normal"/>
        <w:jc w:val="center"/>
        <w:rPr>
          <w:rFonts w:ascii="Arial" w:hAnsi="Arial" w:cs="Tahoma"/>
          <w:b/>
          <w:b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/>
          <w:bCs/>
          <w:color w:val="000000"/>
          <w:sz w:val="22"/>
          <w:szCs w:val="22"/>
          <w:u w:val="none" w:color="000000"/>
        </w:rPr>
        <w:t>Závěrečná ustanovení</w:t>
      </w:r>
    </w:p>
    <w:p>
      <w:pPr>
        <w:pStyle w:val="Normal"/>
        <w:jc w:val="both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Tlotextu"/>
        <w:numPr>
          <w:ilvl w:val="0"/>
          <w:numId w:val="3"/>
        </w:numPr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  <w:t>Právní vztahy touto Smlouvou zvlášť neupravené se řídí platnými zákony a předpisy.</w:t>
      </w:r>
    </w:p>
    <w:p>
      <w:pPr>
        <w:pStyle w:val="Tlotextu"/>
        <w:numPr>
          <w:ilvl w:val="0"/>
          <w:numId w:val="3"/>
        </w:numPr>
        <w:ind w:left="0" w:right="0" w:hanging="0"/>
        <w:jc w:val="both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  <w:t xml:space="preserve">Tato Smlouva se vyhotovuje ve dvou vyhotoveních, z nichž jedno vyhotovení obdrží </w:t>
        <w:tab/>
        <w:t xml:space="preserve">Společnost a </w:t>
        <w:tab/>
        <w:t>jedno vyhotovení obdrží Objednavatel.</w:t>
      </w:r>
    </w:p>
    <w:p>
      <w:pPr>
        <w:pStyle w:val="Tlotextu"/>
        <w:numPr>
          <w:ilvl w:val="0"/>
          <w:numId w:val="3"/>
        </w:numPr>
        <w:ind w:left="0" w:right="0" w:hanging="0"/>
        <w:jc w:val="both"/>
        <w:rPr>
          <w:rFonts w:ascii="Arial" w:hAnsi="Arial" w:cs="Tahoma"/>
          <w:b w:val="false"/>
          <w:b w:val="false"/>
          <w:bCs/>
          <w:color w:val="000000"/>
          <w:sz w:val="22"/>
          <w:szCs w:val="22"/>
          <w:u w:val="none" w:color="000000"/>
        </w:rPr>
      </w:pPr>
      <w:r>
        <w:rPr>
          <w:rFonts w:eastAsia="Arial" w:cs="Tahoma" w:ascii="Arial" w:hAnsi="Arial"/>
          <w:b w:val="false"/>
          <w:bCs/>
          <w:color w:val="000000"/>
          <w:sz w:val="22"/>
          <w:szCs w:val="22"/>
          <w:u w:val="none" w:color="000000"/>
        </w:rPr>
        <w:t xml:space="preserve">Tato Smlouva nabývá platnosti podpisem obou smluvních stran, její změny a doplňky </w:t>
        <w:tab/>
        <w:t xml:space="preserve">musí být písemnou formou podepsány oběma smluvními stranami. </w:t>
      </w:r>
    </w:p>
    <w:p>
      <w:pPr>
        <w:pStyle w:val="Normal"/>
        <w:rPr>
          <w:rFonts w:ascii="Arial" w:hAnsi="Arial" w:eastAsia="Arial" w:cs="Tahoma"/>
          <w:bCs/>
          <w:color w:val="000000"/>
          <w:sz w:val="22"/>
          <w:szCs w:val="22"/>
          <w:u w:val="none" w:color="000000"/>
        </w:rPr>
      </w:pPr>
      <w:r>
        <w:rPr>
          <w:rFonts w:eastAsia="Arial"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Normal"/>
        <w:ind w:firstLine="708"/>
        <w:rPr>
          <w:rFonts w:ascii="Arial" w:hAnsi="Arial" w:cs="Tahoma"/>
          <w:bCs/>
          <w:color w:val="000000"/>
          <w:sz w:val="22"/>
          <w:szCs w:val="22"/>
          <w:u w:val="none" w:color="000000"/>
        </w:rPr>
      </w:pPr>
      <w:r>
        <w:rPr>
          <w:rFonts w:cs="Tahoma" w:ascii="Arial" w:hAnsi="Arial"/>
          <w:bCs/>
          <w:color w:val="000000"/>
          <w:sz w:val="22"/>
          <w:szCs w:val="22"/>
          <w:u w:val="none" w:color="000000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rPr/>
      </w:pPr>
      <w:r>
        <w:rPr>
          <w:rFonts w:ascii="Arial" w:hAnsi="Arial"/>
          <w:sz w:val="22"/>
          <w:szCs w:val="22"/>
        </w:rPr>
        <w:t>V Ostravě </w:t>
      </w:r>
      <w:r>
        <w:rPr>
          <w:rFonts w:eastAsia="Arial" w:cs="Arial" w:ascii="Arial" w:hAnsi="Arial"/>
          <w:sz w:val="22"/>
          <w:szCs w:val="22"/>
        </w:rPr>
        <w:t>dne 24. 8. 2017</w:t>
        <w:tab/>
        <w:tab/>
        <w:tab/>
        <w:t>Ve Frýdku-Místku dne 24. 8. 2017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ab/>
        <w:t>Ing. Marek Tichý</w:t>
      </w: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>Bc.et Bc Jakub Tichý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  <w:tab/>
        <w:t>ředitel spolku                                                                Objednavatel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Příloha: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Historický program</w:t>
      </w:r>
    </w:p>
    <w:p>
      <w:pPr>
        <w:sectPr>
          <w:type w:val="continuous"/>
          <w:pgSz w:w="11906" w:h="16838"/>
          <w:pgMar w:left="1417" w:right="1417" w:header="0" w:top="851" w:footer="0" w:bottom="993" w:gutter="0"/>
          <w:formProt w:val="false"/>
          <w:textDirection w:val="lrTb"/>
          <w:docGrid w:type="default" w:linePitch="249" w:charSpace="2047"/>
        </w:sectPr>
      </w:pPr>
    </w:p>
    <w:sectPr>
      <w:type w:val="continuous"/>
      <w:pgSz w:w="11906" w:h="16838"/>
      <w:pgMar w:left="1417" w:right="1417" w:header="0" w:top="851" w:footer="0" w:bottom="993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  <w:rFonts w:cs="Symbol"/>
      </w:r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lef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left"/>
      <w:pPr>
        <w:tabs>
          <w:tab w:val="num" w:pos="6972"/>
        </w:tabs>
        <w:ind w:left="6972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Garamond" w:hAnsi="Garamond" w:eastAsia="Arial Unicode MS" w:cs="Arial Unicode MS"/>
      <w:color w:val="000000"/>
      <w:sz w:val="20"/>
      <w:szCs w:val="20"/>
      <w:u w:val="none" w:color="000000"/>
      <w:lang w:val="cs-CZ" w:eastAsia="cs-CZ" w:bidi="ar-SA"/>
    </w:rPr>
  </w:style>
  <w:style w:type="paragraph" w:styleId="Nadpis3">
    <w:name w:val="Heading 3"/>
    <w:basedOn w:val="Nadpis"/>
    <w:qFormat/>
    <w:pPr>
      <w:keepNext/>
      <w:widowControl/>
      <w:bidi w:val="0"/>
      <w:jc w:val="left"/>
      <w:outlineLvl w:val="2"/>
    </w:pPr>
    <w:rPr>
      <w:rFonts w:ascii="Arial" w:hAnsi="Arial" w:cs="Arial Unicode MS"/>
      <w:b/>
      <w:bCs/>
      <w:color w:val="800000"/>
      <w:sz w:val="28"/>
      <w:szCs w:val="28"/>
      <w:u w:val="none" w:color="8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14484"/>
    <w:rPr>
      <w:rFonts w:ascii="Garamond" w:hAnsi="Garamond" w:cs="Arial Unicode MS"/>
      <w:color w:val="000000"/>
      <w:u w:val="none" w:color="000000"/>
    </w:rPr>
  </w:style>
  <w:style w:type="character" w:styleId="ZpatChar" w:customStyle="1">
    <w:name w:val="Zápatí Char"/>
    <w:basedOn w:val="DefaultParagraphFont"/>
    <w:link w:val="Zpat"/>
    <w:uiPriority w:val="99"/>
    <w:qFormat/>
    <w:rsid w:val="00114484"/>
    <w:rPr>
      <w:rFonts w:ascii="Garamond" w:hAnsi="Garamond" w:cs="Arial Unicode MS"/>
      <w:color w:val="000000"/>
      <w:u w:val="none" w:color="000000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sz w:val="20"/>
      <w:vertAlign w:val="baseline"/>
    </w:rPr>
  </w:style>
  <w:style w:type="character" w:styleId="WW8Num3z0">
    <w:name w:val="WW8Num3z0"/>
    <w:qFormat/>
    <w:rPr>
      <w:rFonts w:ascii="Tahoma" w:hAnsi="Tahoma" w:cs="Tahoma"/>
      <w:sz w:val="21"/>
      <w:szCs w:val="21"/>
    </w:rPr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ahoma"/>
      <w:sz w:val="21"/>
      <w:szCs w:val="21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 zápatí"/>
    <w:qFormat/>
    <w:pPr>
      <w:widowControl/>
      <w:tabs>
        <w:tab w:val="right" w:pos="9020" w:leader="none"/>
      </w:tabs>
      <w:bidi w:val="0"/>
      <w:jc w:val="left"/>
    </w:pPr>
    <w:rPr>
      <w:rFonts w:ascii="Helvetica" w:hAnsi="Helvetica" w:eastAsia="Arial Unicode MS" w:cs="Arial Unicode MS"/>
      <w:color w:val="000000"/>
      <w:sz w:val="24"/>
      <w:szCs w:val="24"/>
      <w:lang w:val="cs-CZ" w:eastAsia="cs-CZ" w:bidi="ar-SA"/>
    </w:rPr>
  </w:style>
  <w:style w:type="paragraph" w:styleId="Vchoz" w:customStyle="1">
    <w:name w:val="Výchozí"/>
    <w:qFormat/>
    <w:pPr>
      <w:widowControl/>
      <w:bidi w:val="0"/>
      <w:jc w:val="left"/>
    </w:pPr>
    <w:rPr>
      <w:rFonts w:ascii="Helvetica" w:hAnsi="Helvetica" w:eastAsia="Arial Unicode MS" w:cs="Arial Unicode MS"/>
      <w:color w:val="000000"/>
      <w:sz w:val="22"/>
      <w:szCs w:val="22"/>
      <w:lang w:val="cs-CZ" w:eastAsia="cs-CZ" w:bidi="ar-SA"/>
    </w:rPr>
  </w:style>
  <w:style w:type="paragraph" w:styleId="BodyText2">
    <w:name w:val="Body Text 2"/>
    <w:qFormat/>
    <w:pPr>
      <w:widowControl/>
      <w:bidi w:val="0"/>
      <w:jc w:val="center"/>
    </w:pPr>
    <w:rPr>
      <w:rFonts w:ascii="Times New Roman" w:hAnsi="Times New Roman" w:eastAsia="Arial Unicode MS" w:cs="Arial Unicode MS"/>
      <w:b/>
      <w:bCs/>
      <w:color w:val="000000"/>
      <w:sz w:val="28"/>
      <w:szCs w:val="28"/>
      <w:u w:val="none" w:color="000000"/>
      <w:lang w:val="cs-CZ" w:eastAsia="cs-CZ" w:bidi="ar-SA"/>
    </w:rPr>
  </w:style>
  <w:style w:type="paragraph" w:styleId="Zhlav">
    <w:name w:val="Header"/>
    <w:basedOn w:val="Normal"/>
    <w:link w:val="ZhlavChar"/>
    <w:unhideWhenUsed/>
    <w:rsid w:val="00114484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nhideWhenUsed/>
    <w:rsid w:val="00114484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e553a"/>
    <w:pPr>
      <w:spacing w:before="0" w:after="0"/>
      <w:ind w:left="720" w:hanging="0"/>
      <w:contextualSpacing/>
    </w:pPr>
    <w:rPr/>
  </w:style>
  <w:style w:type="paragraph" w:styleId="Zkladntextodsazen21" w:customStyle="1">
    <w:name w:val="Základní text odsazený 21"/>
    <w:basedOn w:val="Normal"/>
    <w:qFormat/>
    <w:rsid w:val="00316ec0"/>
    <w:pPr>
      <w:suppressAutoHyphens w:val="true"/>
      <w:ind w:firstLine="360"/>
    </w:pPr>
    <w:rPr>
      <w:rFonts w:ascii="Times New Roman" w:hAnsi="Times New Roman" w:eastAsia="Times New Roman" w:cs="Cambria"/>
      <w:color w:val="00000A"/>
      <w:sz w:val="24"/>
      <w:szCs w:val="24"/>
      <w:lang w:eastAsia="ar-SA"/>
    </w:rPr>
  </w:style>
  <w:style w:type="paragraph" w:styleId="Zkladntext21" w:customStyle="1">
    <w:name w:val="Základní text 21"/>
    <w:basedOn w:val="Normal"/>
    <w:qFormat/>
    <w:rsid w:val="00316ec0"/>
    <w:pPr>
      <w:suppressAutoHyphens w:val="true"/>
    </w:pPr>
    <w:rPr>
      <w:rFonts w:ascii="Times New Roman" w:hAnsi="Times New Roman" w:eastAsia="Times New Roman" w:cs="Cambria"/>
      <w:b/>
      <w:bCs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Importovanstyl1" w:customStyle="1">
    <w:name w:val="Importovaný styl 1"/>
    <w:qFormat/>
  </w:style>
  <w:style w:type="numbering" w:styleId="Importovanstyl2" w:customStyle="1">
    <w:name w:val="Importovaný styl 2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7BA7-8857-4905-9750-BEA12040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LibreOffice/5.2.0.4$Windows_X86_64 LibreOffice_project/066b007f5ebcc236395c7d282ba488bca6720265</Application>
  <Pages>4</Pages>
  <Words>733</Words>
  <Characters>4329</Characters>
  <CharactersWithSpaces>5125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2017-07-20T07:59:00Z</dcterms:created>
  <dc:creator>filip.simecek</dc:creator>
  <dc:description/>
  <dc:language>cs-CZ</dc:language>
  <cp:lastModifiedBy/>
  <cp:lastPrinted>2017-08-24T10:22:44Z</cp:lastPrinted>
  <dcterms:modified xsi:type="dcterms:W3CDTF">2017-08-25T11:24:05Z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