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2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1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uzavřené dne 4. 12. 2024 mezi uvedenými účastníky podle ustanovení</w:t>
        <w:br/>
        <w:t>§ 2586 a násl. zákona č. 89/2012 sb., občanský zákoník, ve znění pozdějších předpisů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9" w:line="180" w:lineRule="exact"/>
        <w:ind w:left="0" w:right="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63" w:line="21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</w:t>
      </w:r>
    </w:p>
    <w:p>
      <w:pPr>
        <w:pStyle w:val="Style9"/>
        <w:numPr>
          <w:ilvl w:val="0"/>
          <w:numId w:val="1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both"/>
        <w:spacing w:before="0" w:after="97" w:line="21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Nemocnice Třinec, příspěvková organizace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9pt;margin-top:-2.3pt;width:89.5pt;height:85.7pt;z-index:-125829376;mso-wrap-distance-left:5.pt;mso-wrap-distance-right:40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4"/>
                    </w:rPr>
                    <w:t>se sídlem: zastoupena: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4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4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Kaštanová 268, Dolní Líštná, 739 61 Třinec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Bc. Jaroslav Brzyszkowski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00534242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CZ00534242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274" w:lineRule="exact"/>
        <w:ind w:left="0" w:right="3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Komerční banka Třinec, a. s. 29034-781/0100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8" w:line="21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obchodním rejstříku u Krajského soudu v Ostravě, oddíl Pr, vložka 908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oprávněná jednat ve věcech technických a realizace stavby: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6"/>
        <w:ind w:left="380" w:right="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Bc. Jaroslav Brzyszkowski, tel.: 558 309 751 (dále jen </w:t>
      </w:r>
      <w:r>
        <w:rPr>
          <w:rStyle w:val="CharStyle15"/>
        </w:rPr>
        <w:t>„objednatel“)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pict>
          <v:shape id="_x0000_s1027" type="#_x0000_t202" style="position:absolute;margin-left:18.6pt;margin-top:-17.2pt;width:102.25pt;height:112.8pt;z-index:-125829375;mso-wrap-distance-left:5.pt;mso-wrap-distance-right:38.4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2. MORYS s.r.o,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0" w:line="274" w:lineRule="exact"/>
                    <w:ind w:left="320" w:right="0" w:firstLine="0"/>
                  </w:pPr>
                  <w:r>
                    <w:rPr>
                      <w:rStyle w:val="CharStyle4"/>
                    </w:rPr>
                    <w:t>se sídlem: zastoupena: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320" w:right="0" w:firstLine="0"/>
                  </w:pPr>
                  <w:r>
                    <w:rPr>
                      <w:rStyle w:val="CharStyle4"/>
                    </w:rPr>
                    <w:t>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320" w:right="0" w:firstLine="0"/>
                  </w:pPr>
                  <w:r>
                    <w:rPr>
                      <w:rStyle w:val="CharStyle4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320" w:right="0" w:firstLine="0"/>
                  </w:pPr>
                  <w:r>
                    <w:rPr>
                      <w:rStyle w:val="CharStyle4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Korejská 894/9, Přívoz, 702 00 Ostrava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Jiří Smidák, výkonný ředitel na základě Plné moci ze dne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4. 12. 2024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42864771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CZ42864771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Komerční banka, a.s.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107-3674100247/0100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obchodním rejstříku vedeném Krajským soudem v Ostravě, sp. zn. C 1504 Osoba oprávněná jednat ve věcech technických a realizace stavby: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3" w:line="21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Jaromír Plaňka, tel.: 604 978 219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68" w:line="210" w:lineRule="exact"/>
        <w:ind w:left="760" w:right="0"/>
      </w:pPr>
      <w:r>
        <w:rPr>
          <w:rStyle w:val="CharStyle16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„zhotovitel“)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63" w:line="210" w:lineRule="exact"/>
        <w:ind w:left="4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dohody obou smluvních stran se v souladu s ujednáním č. III. odst. 8 a čl. V. odst.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7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 výše uvedené smlouvy o dílo tato smlouva mění a doplňuje takto: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V článku III. Předmět smlouvy - odstavci 1 se mění rozsah plnění zhotovitele, a to z důvodu dodatečných víceprací a méněprací specifikovaných ve změnových listech č. </w:t>
      </w:r>
      <w:r>
        <w:rPr>
          <w:rStyle w:val="CharStyle17"/>
        </w:rPr>
        <w:t>9-15,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které jsou nedílnou přílohou č. 1 tohoto Dodatku č. 1 Smlouvy o dílo. V důsledku uvedeného se tedy rozsah plnění zhotovitele zužuje o takto specifikované méněpráce a rozšiřuje o takto specifikované vícepráce.</w:t>
      </w:r>
      <w:r>
        <w:br w:type="page"/>
      </w:r>
    </w:p>
    <w:p>
      <w:pPr>
        <w:pStyle w:val="Style3"/>
        <w:numPr>
          <w:ilvl w:val="0"/>
          <w:numId w:val="1"/>
        </w:numPr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5" w:line="278" w:lineRule="exact"/>
        <w:ind w:left="62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článku V. Cena za dílo v prvním odstavci se z důvodu výše uvedených změn mění cena díla takto: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416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Cena za dílo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62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Cena za provedené dílo je stanovena dohodou smluvních stran a činí:</w:t>
      </w:r>
    </w:p>
    <w:p>
      <w:pPr>
        <w:pStyle w:val="Style3"/>
        <w:tabs>
          <w:tab w:leader="none" w:pos="6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bez DPH</w:t>
        <w:tab/>
        <w:t>34 498 600,— Kč</w:t>
      </w:r>
    </w:p>
    <w:p>
      <w:pPr>
        <w:pStyle w:val="Style3"/>
        <w:tabs>
          <w:tab w:leader="none" w:pos="6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víceprací dle dodatku č. 1. bez DPH</w:t>
        <w:tab/>
        <w:t>4 040 576,53 Kč</w:t>
      </w:r>
    </w:p>
    <w:p>
      <w:pPr>
        <w:pStyle w:val="Style3"/>
        <w:tabs>
          <w:tab w:leader="none" w:pos="6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14" w:line="552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méněprací dle dodatku č. 1 bez DPH</w:t>
        <w:tab/>
        <w:t>- 3 642 996,79 Kč</w:t>
      </w:r>
    </w:p>
    <w:p>
      <w:pPr>
        <w:pStyle w:val="Style9"/>
        <w:tabs>
          <w:tab w:leader="none" w:pos="6951" w:val="left"/>
        </w:tabs>
        <w:widowControl w:val="0"/>
        <w:keepNext/>
        <w:keepLines/>
        <w:shd w:val="clear" w:color="auto" w:fill="auto"/>
        <w:bidi w:val="0"/>
        <w:jc w:val="both"/>
        <w:spacing w:before="0" w:after="298" w:line="210" w:lineRule="exact"/>
        <w:ind w:left="98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Cena díla Celkem ve znění dodatku č. 1 bez DPH</w:t>
        <w:tab/>
        <w:t>34 896 179,74 Kč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0" w:line="547" w:lineRule="exact"/>
        <w:ind w:left="980" w:right="1020" w:firstLine="0"/>
      </w:pPr>
      <w:r>
        <w:pict>
          <v:shape id="_x0000_s1028" type="#_x0000_t202" style="position:absolute;margin-left:363.pt;margin-top:-13.7pt;width:91.9pt;height:96.2pt;z-index:-125829374;mso-wrap-distance-left:43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3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4" w:line="552" w:lineRule="exact"/>
                    <w:ind w:left="0" w:right="0" w:firstLine="380"/>
                  </w:pPr>
                  <w:r>
                    <w:rPr>
                      <w:rStyle w:val="CharStyle4"/>
                    </w:rPr>
                    <w:t>964 546,07 Kč -</w:t>
                    <w:tab/>
                    <w:t>843 291,42 Kč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35 017 434,39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Cena víceprací dle dodatku č. 2. bez DPH Cena méněprací dle dodatku č. 2 bez DPH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553" w:line="210" w:lineRule="exact"/>
        <w:ind w:left="98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Cena díla Celkem ve znění dodatku č. 2 bez DPH</w:t>
      </w:r>
      <w:bookmarkEnd w:id="5"/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217" w:line="210" w:lineRule="exact"/>
        <w:ind w:left="478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  <w:bookmarkEnd w:id="6"/>
    </w:p>
    <w:p>
      <w:pPr>
        <w:pStyle w:val="Style3"/>
        <w:numPr>
          <w:ilvl w:val="0"/>
          <w:numId w:val="3"/>
        </w:numPr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2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ujednání smlouvy o dílo uzavřené mezi objednatelem a zhotovitelem dne 4. 12. 2024 zůstávají beze změn.</w:t>
      </w:r>
    </w:p>
    <w:p>
      <w:pPr>
        <w:pStyle w:val="Style3"/>
        <w:numPr>
          <w:ilvl w:val="0"/>
          <w:numId w:val="3"/>
        </w:numPr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2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nabývá platnosti dnem jejího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>
      <w:pPr>
        <w:pStyle w:val="Style3"/>
        <w:numPr>
          <w:ilvl w:val="0"/>
          <w:numId w:val="3"/>
        </w:numPr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2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smlouvy je sepsán ve dvou stejnopisech splatností originálu, z nichž objednatel i zhotovitel obdrží jedno vyhotovení.</w:t>
      </w:r>
    </w:p>
    <w:p>
      <w:pPr>
        <w:pStyle w:val="Style3"/>
        <w:numPr>
          <w:ilvl w:val="0"/>
          <w:numId w:val="3"/>
        </w:numPr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2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tohoto dodatku jsou tyto přílohy: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31" w:line="274" w:lineRule="exact"/>
        <w:ind w:left="6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Příloha č. 1: Změnové listy zhotovitele (ZL </w:t>
      </w:r>
      <w:r>
        <w:rPr>
          <w:rStyle w:val="CharStyle17"/>
        </w:rPr>
        <w:t>9-15)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pict>
          <v:shape id="_x0000_s1029" type="#_x0000_t202" style="position:absolute;margin-left:19.1pt;margin-top:0;width:63.6pt;height:13.6pt;z-index:-125829373;mso-wrap-distance-left:5.pt;mso-wrap-distance-right:176.65pt;mso-wrap-distance-bottom:54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19.1pt;margin-top:67.7pt;width:168.pt;height:27.6pt;z-index:-125829372;mso-wrap-distance-left:5.pt;mso-wrap-distance-top:0.5pt;mso-wrap-distance-right:280.3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za objednatele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Bc. Jaroslav Brzyszkowski, ředitel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57.9pt;margin-top:67.2pt;width:160.55pt;height:27.85pt;z-index:-125829371;mso-wrap-distance-left:238.8pt;mso-wrap-distance-right:48.95pt;mso-wrap-distance-bottom:20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za zhotovitele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Ing. Jiří Šmidák, výkonný ředitel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Ostravě dne</w:t>
      </w:r>
      <w:r>
        <w:br w:type="page"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 Rekapitulace předložených změnových listů NEMOCNICE TŘINEC p.o. OPERAČNÍ SÁLY l.NP BLOK C</w:t>
      </w:r>
    </w:p>
    <w:p>
      <w:pPr>
        <w:pStyle w:val="Style20"/>
        <w:framePr w:w="9691" w:wrap="notBeside" w:vAnchor="text" w:hAnchor="text" w:xAlign="center" w:y="1"/>
        <w:tabs>
          <w:tab w:leader="none" w:pos="6446" w:val="left"/>
          <w:tab w:leader="none" w:pos="7709" w:val="left"/>
        </w:tabs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ZLČ.9SO01- Stavební úpravy operační sály 6 a 7</w:t>
        <w:tab/>
        <w:t>MP</w:t>
        <w:tab/>
        <w:t>VCP</w:t>
      </w:r>
    </w:p>
    <w:tbl>
      <w:tblPr>
        <w:tblOverlap w:val="never"/>
        <w:tblLayout w:type="fixed"/>
        <w:jc w:val="center"/>
      </w:tblPr>
      <w:tblGrid>
        <w:gridCol w:w="235"/>
        <w:gridCol w:w="4142"/>
        <w:gridCol w:w="1718"/>
        <w:gridCol w:w="1378"/>
        <w:gridCol w:w="1205"/>
        <w:gridCol w:w="1013"/>
      </w:tblGrid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1</w:t>
            </w:r>
            <w:r>
              <w:rPr>
                <w:rStyle w:val="CharStyle23"/>
              </w:rPr>
              <w:t>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Podlahová krytina m.č.1.45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93 340,72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93 340,72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Kazetový podhled m.č.1.45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56 524,88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56 524,88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3.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Truhlářské výrobky - kuchyňské linky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VCP/MP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24"/>
              </w:rPr>
              <w:t>-41100,00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11950,00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-29150,00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4.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Neprováděné práce SOOl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24"/>
              </w:rPr>
              <w:t>-414087,91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-414 087,91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Neprováděné práce SOOl.a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24"/>
              </w:rPr>
              <w:t>-70741,80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-70741,80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6.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Neprováděné práce VRN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24"/>
              </w:rPr>
              <w:t>-73482,52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-73482,52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24"/>
              </w:rPr>
              <w:t>Doplnění elektrického zámku do PO dveří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8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30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24"/>
              </w:rPr>
              <w:t>19850,00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19850,00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ZL.č.9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300" w:firstLine="0"/>
            </w:pPr>
            <w:r>
              <w:rPr>
                <w:rStyle w:val="CharStyle25"/>
              </w:rPr>
              <w:t>-599412,23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25"/>
              </w:rPr>
              <w:t>181665,60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-417 746,63</w:t>
            </w:r>
          </w:p>
        </w:tc>
      </w:tr>
    </w:tbl>
    <w:p>
      <w:pPr>
        <w:pStyle w:val="Style20"/>
        <w:framePr w:w="969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TZB - Technické zařízení budov</w:t>
      </w:r>
    </w:p>
    <w:p>
      <w:pPr>
        <w:framePr w:w="9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ZL.č.10 Slaboproud</w:t>
      </w:r>
    </w:p>
    <w:tbl>
      <w:tblPr>
        <w:tblOverlap w:val="never"/>
        <w:tblLayout w:type="fixed"/>
        <w:jc w:val="center"/>
      </w:tblPr>
      <w:tblGrid>
        <w:gridCol w:w="4738"/>
        <w:gridCol w:w="1373"/>
        <w:gridCol w:w="1354"/>
        <w:gridCol w:w="1248"/>
        <w:gridCol w:w="1003"/>
      </w:tblGrid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1. Doplnění magnetů EPS pro dveřeschodiště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45 761,83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45761,83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2. Doplnění kabeláže pro klíčový ovladač dveře vstup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2341,07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2341,07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3. Natažení kabelů Utp Cat.6a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10342,80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10342,80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4. Napopjení domácího telefonu pro dveře u automatu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2035,77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2035,77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5. Záměna datových zásuvek typ Sl pro operační sály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5261,02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5 261,02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60" w:right="0" w:firstLine="0"/>
            </w:pPr>
            <w:r>
              <w:rPr>
                <w:rStyle w:val="CharStyle25"/>
              </w:rPr>
              <w:t>ZL.č.10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800" w:right="0" w:firstLine="0"/>
            </w:pPr>
            <w:r>
              <w:rPr>
                <w:rStyle w:val="CharStyle2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65742,49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65742,49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5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ZL.č.ll Silnoproud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1. Úprava rozvaděče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171727,37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171727,37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2. Napájení PO klap VZT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4397,08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4397,08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3. zásuvky a přívody pro automaty ve vestibulu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9104,37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9104,37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4. doplnění oddělení chodby l.NP a čekárny l.PP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24192,19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24192,19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25"/>
              </w:rPr>
              <w:t>ZL.č.ll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800" w:right="0" w:firstLine="0"/>
            </w:pPr>
            <w:r>
              <w:rPr>
                <w:rStyle w:val="CharStyle2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209421,01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209421,01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5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ZL.č.12 Vestavby OPS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1. Mycí žlaby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146 527,64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146527,64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2. MP vestavba OPS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-70871,00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-70 871,00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25"/>
              </w:rPr>
              <w:t>ZL.č.12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-70 871,00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146 527,64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75656,64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gridSpan w:val="5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ZL.č.13 Mediplyny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1. ventily C02 OPS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17 603,59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17 603,59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25"/>
              </w:rPr>
              <w:t>ZL.č.13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800" w:right="0" w:firstLine="0"/>
            </w:pPr>
            <w:r>
              <w:rPr>
                <w:rStyle w:val="CharStyle25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17 603,59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17 603,59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5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ZL.Č.14 ZTI a UT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1. úpravy tras a dopojování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115 918,69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115 918,69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2. zařizovací předměty SOOl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VCP/MP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-67 206,10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137 755,25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70 549,15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3. zařizovací předměty SOOl TZB-ZTI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VCP/MP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-32 030,88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18649,79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-13381,09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25"/>
              </w:rPr>
              <w:t>ZL.č.14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-99236,98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272323,73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173086,75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gridSpan w:val="5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ZL.č.15 Acrovyn l.NP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1. Acrovyn l.NP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VCP/MP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-73 771,21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24"/>
              </w:rPr>
              <w:t>71 262,01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-2 509,20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25"/>
              </w:rPr>
              <w:t>ZL.č.15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-73 771,21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71262,01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-2509,20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780" w:right="0" w:firstLine="0"/>
            </w:pPr>
            <w:r>
              <w:rPr>
                <w:rStyle w:val="CharStyle24"/>
              </w:rPr>
              <w:t>CELKEM MP a VCP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5"/>
              </w:rPr>
              <w:t>-843291,42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25"/>
              </w:rPr>
              <w:t>964546,07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7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4"/>
              </w:rPr>
              <w:t>121254,65</w:t>
            </w:r>
          </w:p>
        </w:tc>
      </w:tr>
    </w:tbl>
    <w:p>
      <w:pPr>
        <w:pStyle w:val="Style26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</w:t>
      </w:r>
    </w:p>
    <w:p>
      <w:pPr>
        <w:pStyle w:val="Style20"/>
        <w:framePr w:w="97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121254,65</w:t>
      </w:r>
    </w:p>
    <w:p>
      <w:pPr>
        <w:framePr w:w="97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footnotePr>
        <w:pos w:val="pageBottom"/>
        <w:numFmt w:val="decimal"/>
        <w:numRestart w:val="continuous"/>
      </w:footnotePr>
      <w:pgSz w:w="11900" w:h="16840"/>
      <w:pgMar w:top="1170" w:left="1079" w:right="1091" w:bottom="19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6">
    <w:name w:val="Základní text (4) Exact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8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0">
    <w:name w:val="Nadpis #2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1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3">
    <w:name w:val="Nadpis #1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character" w:customStyle="1" w:styleId="CharStyle14">
    <w:name w:val="Základní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5">
    <w:name w:val="Základní text (2) + Tučné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6">
    <w:name w:val="Základní text (3) + Ne tučné"/>
    <w:basedOn w:val="CharStyle1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Základní text (2) + Řádkování 2 pt"/>
    <w:basedOn w:val="CharStyle11"/>
    <w:rPr>
      <w:lang w:val="cs-CZ" w:eastAsia="cs-CZ" w:bidi="cs-CZ"/>
      <w:w w:val="100"/>
      <w:spacing w:val="40"/>
      <w:color w:val="000000"/>
      <w:position w:val="0"/>
    </w:rPr>
  </w:style>
  <w:style w:type="character" w:customStyle="1" w:styleId="CharStyle19">
    <w:name w:val="Základní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21">
    <w:name w:val="Titulek tabulky_"/>
    <w:basedOn w:val="DefaultParagraphFont"/>
    <w:link w:val="Style20"/>
    <w:rPr>
      <w:b/>
      <w:bCs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22">
    <w:name w:val="Základní text (2) + Bookman Old Style,7,5 pt,Tučné"/>
    <w:basedOn w:val="CharStyle11"/>
    <w:rPr>
      <w:lang w:val="cs-CZ" w:eastAsia="cs-CZ" w:bidi="cs-CZ"/>
      <w:b/>
      <w:bCs/>
      <w:sz w:val="15"/>
      <w:szCs w:val="15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3">
    <w:name w:val="Základní text (2) + Corbel,7,5 pt,Tučné"/>
    <w:basedOn w:val="CharStyle11"/>
    <w:rPr>
      <w:lang w:val="cs-CZ" w:eastAsia="cs-CZ" w:bidi="cs-CZ"/>
      <w:b/>
      <w:bCs/>
      <w:sz w:val="15"/>
      <w:szCs w:val="15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4">
    <w:name w:val="Základní text (2) + Trebuchet MS,8 pt"/>
    <w:basedOn w:val="CharStyle11"/>
    <w:rPr>
      <w:lang w:val="cs-CZ" w:eastAsia="cs-CZ" w:bidi="cs-CZ"/>
      <w:sz w:val="16"/>
      <w:szCs w:val="1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5">
    <w:name w:val="Základní text (2) + Trebuchet MS,7 pt,Tučné"/>
    <w:basedOn w:val="CharStyle11"/>
    <w:rPr>
      <w:lang w:val="cs-CZ" w:eastAsia="cs-CZ" w:bidi="cs-CZ"/>
      <w:b/>
      <w:bCs/>
      <w:sz w:val="14"/>
      <w:szCs w:val="1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7">
    <w:name w:val="Titulek tabulky (2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3">
    <w:name w:val="Základní text (2)"/>
    <w:basedOn w:val="Normal"/>
    <w:link w:val="CharStyle11"/>
    <w:pPr>
      <w:widowControl w:val="0"/>
      <w:shd w:val="clear" w:color="auto" w:fill="FFFFFF"/>
      <w:jc w:val="center"/>
      <w:spacing w:after="180" w:line="394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7">
    <w:name w:val="Základní text (3)"/>
    <w:basedOn w:val="Normal"/>
    <w:link w:val="CharStyle14"/>
    <w:pPr>
      <w:widowControl w:val="0"/>
      <w:shd w:val="clear" w:color="auto" w:fill="FFFFFF"/>
      <w:jc w:val="center"/>
      <w:spacing w:before="60" w:after="600" w:line="0" w:lineRule="exact"/>
      <w:ind w:hanging="380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jc w:val="center"/>
      <w:outlineLvl w:val="1"/>
      <w:spacing w:line="39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jc w:val="center"/>
      <w:outlineLvl w:val="0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paragraph" w:customStyle="1" w:styleId="Style18">
    <w:name w:val="Základní text (5)"/>
    <w:basedOn w:val="Normal"/>
    <w:link w:val="CharStyle19"/>
    <w:pPr>
      <w:widowControl w:val="0"/>
      <w:shd w:val="clear" w:color="auto" w:fill="FFFFFF"/>
      <w:spacing w:line="23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26">
    <w:name w:val="Titulek tabulky (2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