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3B495665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C54B18">
        <w:rPr>
          <w:rFonts w:ascii="Times New Roman" w:hAnsi="Times New Roman"/>
        </w:rPr>
        <w:t>072291/21</w:t>
      </w:r>
      <w:r w:rsidR="00B8510B" w:rsidRPr="00BD20D9">
        <w:rPr>
          <w:rFonts w:ascii="Times New Roman" w:hAnsi="Times New Roman"/>
        </w:rPr>
        <w:t>/OD/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159FC474" w14:textId="77777777" w:rsidR="00EA10D3" w:rsidRDefault="00EA10D3" w:rsidP="006870CA">
      <w:pPr>
        <w:jc w:val="center"/>
        <w:rPr>
          <w:b/>
          <w:sz w:val="32"/>
        </w:rPr>
      </w:pPr>
      <w:r w:rsidRPr="00EA10D3">
        <w:rPr>
          <w:b/>
          <w:sz w:val="32"/>
        </w:rPr>
        <w:t>Znojemská dopravní společnost – PSOTA, s.r.o.</w:t>
      </w:r>
    </w:p>
    <w:p w14:paraId="034BEFB4" w14:textId="6CAF215C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00661AF8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EA10D3">
        <w:rPr>
          <w:rFonts w:ascii="Times New Roman" w:hAnsi="Times New Roman"/>
        </w:rPr>
        <w:t>072291/21</w:t>
      </w:r>
      <w:r w:rsidR="00A67CCB" w:rsidRPr="00BD20D9">
        <w:rPr>
          <w:rFonts w:ascii="Times New Roman" w:hAnsi="Times New Roman"/>
        </w:rPr>
        <w:t>/OD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40BBFE74" w14:textId="77777777" w:rsidR="007F4777" w:rsidRPr="00B64A30" w:rsidRDefault="007F4777" w:rsidP="007F4777">
      <w:pPr>
        <w:numPr>
          <w:ilvl w:val="0"/>
          <w:numId w:val="4"/>
        </w:numPr>
        <w:rPr>
          <w:b/>
          <w:szCs w:val="22"/>
        </w:rPr>
      </w:pPr>
      <w:r w:rsidRPr="00B64A30">
        <w:rPr>
          <w:b/>
          <w:szCs w:val="22"/>
        </w:rPr>
        <w:t>Znojemská dopravní společnost – PSOTA, s.r.o.</w:t>
      </w:r>
    </w:p>
    <w:p w14:paraId="071D8BA6" w14:textId="77777777" w:rsidR="007F4777" w:rsidRPr="00B64A30" w:rsidRDefault="007F4777" w:rsidP="007F4777">
      <w:pPr>
        <w:pStyle w:val="Text11"/>
        <w:rPr>
          <w:szCs w:val="22"/>
        </w:rPr>
      </w:pPr>
      <w:r w:rsidRPr="00B64A30">
        <w:rPr>
          <w:szCs w:val="22"/>
        </w:rPr>
        <w:t>se sídlem Hakenova 3640/21, 669 02 Znojmo,</w:t>
      </w:r>
    </w:p>
    <w:p w14:paraId="13831B2D" w14:textId="59B4656E" w:rsidR="007F4777" w:rsidRPr="00B64A30" w:rsidRDefault="007F4777" w:rsidP="007F4777">
      <w:pPr>
        <w:pStyle w:val="Text11"/>
        <w:rPr>
          <w:szCs w:val="22"/>
        </w:rPr>
      </w:pPr>
      <w:r w:rsidRPr="00B64A30">
        <w:rPr>
          <w:szCs w:val="22"/>
        </w:rPr>
        <w:t xml:space="preserve">zastoupená </w:t>
      </w:r>
      <w:r w:rsidRPr="00B64A30">
        <w:t xml:space="preserve">Karlem Psotou, jednatelem a </w:t>
      </w:r>
      <w:r w:rsidR="00EF0CA5">
        <w:rPr>
          <w:szCs w:val="22"/>
        </w:rPr>
        <w:t>xxxxxxxxxxx</w:t>
      </w:r>
      <w:r w:rsidR="006C56E0" w:rsidRPr="00B64A30">
        <w:t>,</w:t>
      </w:r>
      <w:r w:rsidRPr="00B64A30">
        <w:t xml:space="preserve"> na základě PM,</w:t>
      </w:r>
    </w:p>
    <w:p w14:paraId="27B645D8" w14:textId="77777777" w:rsidR="007F4777" w:rsidRPr="00B64A30" w:rsidRDefault="007F4777" w:rsidP="007F4777">
      <w:pPr>
        <w:pStyle w:val="Text11"/>
        <w:rPr>
          <w:szCs w:val="22"/>
        </w:rPr>
      </w:pPr>
      <w:r w:rsidRPr="00B64A30">
        <w:rPr>
          <w:szCs w:val="22"/>
        </w:rPr>
        <w:t>IČO: 63496283,</w:t>
      </w:r>
    </w:p>
    <w:p w14:paraId="6012084C" w14:textId="16A247AA" w:rsidR="00AF377A" w:rsidRPr="00BD20D9" w:rsidRDefault="007F4777" w:rsidP="007F4777">
      <w:pPr>
        <w:pStyle w:val="Text11"/>
        <w:rPr>
          <w:szCs w:val="22"/>
        </w:rPr>
      </w:pPr>
      <w:r w:rsidRPr="00B64A30">
        <w:rPr>
          <w:szCs w:val="22"/>
        </w:rPr>
        <w:t>č. účtu: 1581242319/0800</w:t>
      </w:r>
      <w:r w:rsidR="00495733" w:rsidRPr="00B64A30">
        <w:rPr>
          <w:szCs w:val="22"/>
        </w:rPr>
        <w:t>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odvětví - sekce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7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C63A51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</w:rPr>
      </w:pPr>
      <w:r w:rsidRPr="00C63A51">
        <w:rPr>
          <w:bCs/>
          <w:i/>
          <w:iCs/>
        </w:rPr>
        <w:t>Výpočet Odměny (O</w:t>
      </w:r>
      <w:r w:rsidRPr="00C63A51">
        <w:rPr>
          <w:bCs/>
          <w:i/>
          <w:iCs/>
          <w:vertAlign w:val="subscript"/>
        </w:rPr>
        <w:t>j</w:t>
      </w:r>
      <w:r w:rsidRPr="00C63A51">
        <w:rPr>
          <w:bCs/>
          <w:i/>
          <w:iCs/>
        </w:rPr>
        <w:t>) za plnění Závazku veřejné služby dle této Smlouvy za každou Výběrovou skupinu je dán vzorcem: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bCs/>
          <w:i/>
          <w:iCs/>
          <w:sz w:val="22"/>
          <w:szCs w:val="22"/>
        </w:rPr>
        <w:t xml:space="preserve"> x 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i/>
          <w:iCs/>
          <w:sz w:val="22"/>
          <w:szCs w:val="22"/>
        </w:rPr>
        <w:t>) –DOT + 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>+ 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r w:rsidR="00203465" w:rsidRPr="006438DE">
        <w:rPr>
          <w:b/>
          <w:i/>
          <w:iCs/>
          <w:sz w:val="22"/>
          <w:szCs w:val="22"/>
        </w:rPr>
        <w:t>Ckm</w:t>
      </w:r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Kmu</w:t>
      </w:r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8437F3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8437F3">
        <w:rPr>
          <w:b/>
          <w:i/>
          <w:iCs/>
          <w:szCs w:val="28"/>
          <w:lang w:val="cs-CZ"/>
        </w:rPr>
        <w:t>i</w:t>
      </w:r>
      <w:r w:rsidRPr="008437F3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k</w:t>
      </w:r>
      <w:r w:rsidR="00634CEC">
        <w:rPr>
          <w:bCs/>
          <w:i/>
          <w:iCs/>
          <w:szCs w:val="28"/>
          <w:lang w:val="cs-CZ"/>
        </w:rPr>
        <w:t> </w:t>
      </w:r>
      <w:r w:rsidRPr="008437F3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4E225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</w:rPr>
      </w:pPr>
      <w:r w:rsidRPr="008437F3">
        <w:rPr>
          <w:b/>
          <w:i/>
          <w:iCs/>
          <w:szCs w:val="28"/>
          <w:lang w:val="cs-CZ"/>
        </w:rPr>
        <w:t>j</w:t>
      </w:r>
      <w:r w:rsidRPr="008437F3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</w:t>
      </w:r>
      <w:r w:rsidRPr="006438DE">
        <w:rPr>
          <w:bCs/>
          <w:i/>
          <w:iCs/>
          <w:szCs w:val="28"/>
        </w:rPr>
        <w:t>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= 0,1 x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r w:rsidRPr="00C4058E">
        <w:rPr>
          <w:b/>
          <w:bCs/>
          <w:i/>
          <w:szCs w:val="22"/>
        </w:rPr>
        <w:t xml:space="preserve"> = C</w:t>
      </w:r>
      <w:r w:rsidRPr="00C4058E">
        <w:rPr>
          <w:b/>
          <w:bCs/>
          <w:i/>
          <w:szCs w:val="22"/>
          <w:vertAlign w:val="subscript"/>
        </w:rPr>
        <w:t>kmM</w:t>
      </w:r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3A731DDF" w14:textId="70607D78" w:rsidR="00BA7BC1" w:rsidRPr="00A07A0B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 xml:space="preserve">- </w:t>
      </w:r>
      <w:r w:rsidR="00142EC4" w:rsidRPr="00A07A0B">
        <w:rPr>
          <w:rFonts w:ascii="Times New Roman" w:hAnsi="Times New Roman" w:cs="Times New Roman"/>
          <w:b w:val="0"/>
          <w:iCs w:val="0"/>
          <w:szCs w:val="22"/>
        </w:rPr>
        <w:t xml:space="preserve">pro Výběrovou skupinu č. </w:t>
      </w:r>
      <w:r w:rsidR="00722E37">
        <w:rPr>
          <w:rFonts w:ascii="Times New Roman" w:hAnsi="Times New Roman" w:cs="Times New Roman"/>
          <w:b w:val="0"/>
          <w:iCs w:val="0"/>
          <w:szCs w:val="22"/>
        </w:rPr>
        <w:t>28:</w:t>
      </w:r>
    </w:p>
    <w:p w14:paraId="14984BED" w14:textId="19095550" w:rsidR="0086391C" w:rsidRPr="002A4ED8" w:rsidRDefault="0086391C" w:rsidP="002A4ED8">
      <w:pPr>
        <w:pStyle w:val="Clanek11"/>
        <w:numPr>
          <w:ilvl w:val="0"/>
          <w:numId w:val="24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A07A0B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(klasický autobus) se jedná o </w:t>
      </w:r>
      <w:r w:rsidR="002A4ED8">
        <w:rPr>
          <w:rFonts w:ascii="Times New Roman" w:hAnsi="Times New Roman" w:cs="Times New Roman"/>
          <w:b w:val="0"/>
          <w:iCs w:val="0"/>
          <w:szCs w:val="22"/>
        </w:rPr>
        <w:t>18,66</w:t>
      </w:r>
      <w:r w:rsidR="00CB7B13" w:rsidRPr="00A07A0B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A07A0B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Pr="002A4ED8">
        <w:rPr>
          <w:rFonts w:ascii="Times New Roman" w:hAnsi="Times New Roman" w:cs="Times New Roman"/>
          <w:b w:val="0"/>
          <w:iCs w:val="0"/>
          <w:szCs w:val="22"/>
        </w:rPr>
        <w:t>.</w:t>
      </w:r>
      <w:r w:rsidR="008F224C" w:rsidRPr="002A4ED8">
        <w:rPr>
          <w:rFonts w:ascii="Times New Roman" w:hAnsi="Times New Roman" w:cs="Times New Roman"/>
          <w:b w:val="0"/>
          <w:iCs w:val="0"/>
          <w:szCs w:val="22"/>
        </w:rPr>
        <w:t>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Kmu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EF1B56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EF1B56">
        <w:rPr>
          <w:i/>
        </w:rPr>
        <w:t xml:space="preserve">Zápis </w:t>
      </w:r>
      <w:r w:rsidRPr="00EF1B56">
        <w:rPr>
          <w:b/>
          <w:i/>
        </w:rPr>
        <w:t>max</w:t>
      </w:r>
      <w:r w:rsidRPr="00EF1B56">
        <w:rPr>
          <w:b/>
          <w:bCs/>
          <w:i/>
          <w:szCs w:val="22"/>
          <w:lang w:val="en-US"/>
        </w:rPr>
        <w:t xml:space="preserve">{0,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/>
          <w:bCs/>
          <w:i/>
          <w:szCs w:val="22"/>
        </w:rPr>
        <w:t>}</w:t>
      </w:r>
      <w:r w:rsidRPr="00EF1B56">
        <w:rPr>
          <w:i/>
        </w:rPr>
        <w:t xml:space="preserve"> znamená, že se použije vyšší z obou hodnot, a to buď hodnota 0 (nula), nebo hodnota </w:t>
      </w: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Pr="00EF1B56">
        <w:rPr>
          <w:b/>
          <w:bCs/>
          <w:i/>
          <w:szCs w:val="22"/>
        </w:rPr>
        <w:t xml:space="preserve"> x MMZD</w:t>
      </w:r>
      <w:r w:rsidRPr="00EF1B56">
        <w:rPr>
          <w:b/>
          <w:bCs/>
          <w:i/>
          <w:szCs w:val="22"/>
          <w:vertAlign w:val="subscript"/>
        </w:rPr>
        <w:t>R</w:t>
      </w:r>
      <w:r w:rsidRPr="00EF1B56">
        <w:rPr>
          <w:b/>
          <w:bCs/>
          <w:i/>
          <w:szCs w:val="22"/>
        </w:rPr>
        <w:t xml:space="preserve"> / MMZD</w:t>
      </w:r>
      <w:r w:rsidRPr="00EF1B56">
        <w:rPr>
          <w:b/>
          <w:bCs/>
          <w:i/>
          <w:szCs w:val="22"/>
          <w:vertAlign w:val="subscript"/>
        </w:rPr>
        <w:t>2024</w:t>
      </w:r>
      <w:r w:rsidRPr="00EF1B56">
        <w:rPr>
          <w:b/>
          <w:bCs/>
          <w:i/>
          <w:szCs w:val="22"/>
        </w:rPr>
        <w:t xml:space="preserve"> - 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35B81CCD" w14:textId="336E87D0" w:rsidR="004C2236" w:rsidRPr="00EF1B56" w:rsidRDefault="004568B2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Maximální částka</w:t>
      </w:r>
      <w:r w:rsidR="00891C07" w:rsidRPr="00EF1B56">
        <w:rPr>
          <w:bCs/>
          <w:i/>
          <w:szCs w:val="22"/>
        </w:rPr>
        <w:t xml:space="preserve"> korekce mezd</w:t>
      </w:r>
      <w:r w:rsidRPr="00EF1B56">
        <w:rPr>
          <w:bCs/>
          <w:i/>
          <w:szCs w:val="22"/>
        </w:rPr>
        <w:t xml:space="preserve"> pro výběrovou skupinu </w:t>
      </w:r>
      <w:r w:rsidR="00375A36" w:rsidRPr="00EF1B56">
        <w:rPr>
          <w:bCs/>
          <w:i/>
          <w:szCs w:val="22"/>
        </w:rPr>
        <w:t xml:space="preserve">č. </w:t>
      </w:r>
      <w:r w:rsidR="00354855">
        <w:rPr>
          <w:bCs/>
          <w:i/>
          <w:szCs w:val="22"/>
        </w:rPr>
        <w:t>28</w:t>
      </w:r>
      <w:r w:rsidR="004C2236" w:rsidRPr="00EF1B56">
        <w:rPr>
          <w:bCs/>
          <w:i/>
          <w:szCs w:val="22"/>
        </w:rPr>
        <w:t xml:space="preserve"> je stanovena </w:t>
      </w:r>
      <w:r w:rsidR="000B6F4A" w:rsidRPr="00EF1B56">
        <w:rPr>
          <w:bCs/>
          <w:i/>
          <w:szCs w:val="22"/>
        </w:rPr>
        <w:t xml:space="preserve">v maximální </w:t>
      </w:r>
      <w:r w:rsidRPr="00EF1B56">
        <w:rPr>
          <w:bCs/>
          <w:i/>
          <w:szCs w:val="22"/>
        </w:rPr>
        <w:t xml:space="preserve">výši </w:t>
      </w:r>
      <w:r w:rsidR="000D5B99">
        <w:rPr>
          <w:bCs/>
          <w:i/>
          <w:szCs w:val="22"/>
        </w:rPr>
        <w:t>9.053.029,00</w:t>
      </w:r>
      <w:r w:rsidR="00891C07"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03CF6222" w14:textId="77777777" w:rsidR="00B4297F" w:rsidRDefault="00B4297F" w:rsidP="00B4297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23. </w:t>
      </w:r>
      <w:r>
        <w:rPr>
          <w:sz w:val="22"/>
          <w:szCs w:val="22"/>
        </w:rPr>
        <w:t>schůzi, konané dne 26.06.2025 usnesením č. 1513/25/R23 nadpoloviční většinou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74EE58AD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11718E">
              <w:rPr>
                <w:szCs w:val="22"/>
              </w:rPr>
              <w:t>11.07.2025</w:t>
            </w:r>
          </w:p>
        </w:tc>
        <w:tc>
          <w:tcPr>
            <w:tcW w:w="4678" w:type="dxa"/>
          </w:tcPr>
          <w:p w14:paraId="18467F97" w14:textId="6A17C3F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351F59">
              <w:rPr>
                <w:szCs w:val="22"/>
              </w:rPr>
              <w:t>Znojmo</w:t>
            </w:r>
          </w:p>
          <w:p w14:paraId="00098195" w14:textId="11FD9655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C559B5">
              <w:rPr>
                <w:szCs w:val="22"/>
              </w:rPr>
              <w:t>3.</w:t>
            </w:r>
            <w:r w:rsidR="000B6118">
              <w:rPr>
                <w:szCs w:val="22"/>
              </w:rPr>
              <w:t xml:space="preserve"> </w:t>
            </w:r>
            <w:r w:rsidR="00C559B5">
              <w:rPr>
                <w:szCs w:val="22"/>
              </w:rPr>
              <w:t>7.</w:t>
            </w:r>
            <w:r w:rsidR="000B6118">
              <w:rPr>
                <w:szCs w:val="22"/>
              </w:rPr>
              <w:t xml:space="preserve"> </w:t>
            </w:r>
            <w:r w:rsidR="00C559B5">
              <w:rPr>
                <w:szCs w:val="22"/>
              </w:rPr>
              <w:t>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0B27CB">
        <w:tc>
          <w:tcPr>
            <w:tcW w:w="4644" w:type="dxa"/>
            <w:shd w:val="clear" w:color="auto" w:fill="auto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  <w:shd w:val="clear" w:color="auto" w:fill="auto"/>
          </w:tcPr>
          <w:p w14:paraId="2B34D7A4" w14:textId="53192FCF" w:rsidR="00E634EF" w:rsidRPr="00B64A30" w:rsidRDefault="00E634EF" w:rsidP="00E634EF">
            <w:pPr>
              <w:spacing w:before="0" w:after="60"/>
              <w:rPr>
                <w:szCs w:val="22"/>
                <w:highlight w:val="yellow"/>
              </w:rPr>
            </w:pPr>
            <w:r w:rsidRPr="00B64A30">
              <w:rPr>
                <w:szCs w:val="22"/>
              </w:rPr>
              <w:t xml:space="preserve">Jméno: Karel Psota,    </w:t>
            </w:r>
            <w:r w:rsidR="000B27CB" w:rsidRPr="000B27CB">
              <w:rPr>
                <w:szCs w:val="22"/>
              </w:rPr>
              <w:t>xxxxxxxxxxxx</w:t>
            </w:r>
          </w:p>
          <w:p w14:paraId="082300C2" w14:textId="25417DEE" w:rsidR="00D90AEF" w:rsidRPr="00522514" w:rsidRDefault="00E634EF" w:rsidP="00E634EF">
            <w:pPr>
              <w:spacing w:before="0" w:after="60"/>
              <w:rPr>
                <w:szCs w:val="22"/>
              </w:rPr>
            </w:pPr>
            <w:r w:rsidRPr="00B64A30">
              <w:rPr>
                <w:szCs w:val="22"/>
              </w:rPr>
              <w:t xml:space="preserve">Funkce: </w:t>
            </w:r>
            <w:r w:rsidRPr="00B64A30">
              <w:t>jednatel          na základě PM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31CD" w14:textId="77777777" w:rsidR="00694EA5" w:rsidRDefault="00694EA5">
      <w:r>
        <w:separator/>
      </w:r>
    </w:p>
  </w:endnote>
  <w:endnote w:type="continuationSeparator" w:id="0">
    <w:p w14:paraId="01D0DB74" w14:textId="77777777" w:rsidR="00694EA5" w:rsidRDefault="00694EA5">
      <w:r>
        <w:continuationSeparator/>
      </w:r>
    </w:p>
  </w:endnote>
  <w:endnote w:type="continuationNotice" w:id="1">
    <w:p w14:paraId="711D0496" w14:textId="77777777" w:rsidR="00694EA5" w:rsidRDefault="00694E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649D" w14:textId="77777777" w:rsidR="00EE0A02" w:rsidRDefault="00EE0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8C06" w14:textId="77777777" w:rsidR="00EE0A02" w:rsidRDefault="00EE0A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3E5C" w14:textId="77777777" w:rsidR="00EE0A02" w:rsidRDefault="00EE0A0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E82B" w14:textId="77777777" w:rsidR="00694EA5" w:rsidRDefault="00694EA5">
      <w:r>
        <w:separator/>
      </w:r>
    </w:p>
  </w:footnote>
  <w:footnote w:type="continuationSeparator" w:id="0">
    <w:p w14:paraId="2F3E43EC" w14:textId="77777777" w:rsidR="00694EA5" w:rsidRDefault="00694EA5">
      <w:r>
        <w:continuationSeparator/>
      </w:r>
    </w:p>
  </w:footnote>
  <w:footnote w:type="continuationNotice" w:id="1">
    <w:p w14:paraId="2D6A2EC3" w14:textId="77777777" w:rsidR="00694EA5" w:rsidRDefault="00694EA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95873" w14:textId="77777777" w:rsidR="00EE0A02" w:rsidRDefault="00EE0A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BC71" w14:textId="77777777" w:rsidR="00EE0A02" w:rsidRPr="0084102B" w:rsidRDefault="00207FB9" w:rsidP="00EE0A02">
    <w:pPr>
      <w:pStyle w:val="Zhlav"/>
      <w:ind w:left="-1537" w:right="-5" w:firstLine="1418"/>
      <w:jc w:val="right"/>
      <w:rPr>
        <w:rFonts w:ascii="CKGinisSmall" w:hAnsi="CKGinisSmall"/>
        <w:sz w:val="32"/>
        <w:szCs w:val="32"/>
      </w:rPr>
    </w:pPr>
    <w:r>
      <w:tab/>
    </w:r>
    <w:r>
      <w:tab/>
    </w:r>
    <w:r w:rsidR="00EE0A02" w:rsidRPr="0084102B">
      <w:rPr>
        <w:rFonts w:ascii="CKGinisSmall" w:hAnsi="CKGinisSmall"/>
        <w:sz w:val="32"/>
        <w:szCs w:val="32"/>
      </w:rPr>
      <w:fldChar w:fldCharType="begin"/>
    </w:r>
    <w:r w:rsidR="00EE0A02" w:rsidRPr="0084102B">
      <w:rPr>
        <w:rFonts w:ascii="CKGinisSmall" w:hAnsi="CKGinisSmall"/>
        <w:sz w:val="32"/>
        <w:szCs w:val="32"/>
      </w:rPr>
      <w:instrText>MACROBUTTON MSWField(id_pisemnosti_car) *KUJMXOQAZRBV*</w:instrText>
    </w:r>
    <w:r w:rsidR="00EE0A02" w:rsidRPr="0084102B">
      <w:rPr>
        <w:rFonts w:ascii="CKGinisSmall" w:hAnsi="CKGinisSmall"/>
        <w:sz w:val="32"/>
        <w:szCs w:val="32"/>
      </w:rPr>
      <w:fldChar w:fldCharType="separate"/>
    </w:r>
    <w:r w:rsidR="00EE0A02">
      <w:t>*KUJMXOQAZRBV*</w:t>
    </w:r>
    <w:r w:rsidR="00EE0A02" w:rsidRPr="0084102B">
      <w:rPr>
        <w:rFonts w:ascii="CKGinisSmall" w:hAnsi="CKGinisSmall"/>
        <w:sz w:val="32"/>
        <w:szCs w:val="32"/>
      </w:rPr>
      <w:fldChar w:fldCharType="end"/>
    </w:r>
  </w:p>
  <w:p w14:paraId="29AD400D" w14:textId="77777777" w:rsidR="00EE0A02" w:rsidRPr="00EE0A02" w:rsidRDefault="00EE0A02" w:rsidP="00EE0A02">
    <w:pPr>
      <w:pStyle w:val="Zhlav"/>
      <w:ind w:left="-1537" w:right="-5" w:firstLine="1418"/>
      <w:jc w:val="right"/>
      <w:rPr>
        <w:rFonts w:asciiTheme="minorHAnsi" w:hAnsiTheme="minorHAnsi"/>
        <w:sz w:val="22"/>
        <w:szCs w:val="22"/>
      </w:rPr>
    </w:pPr>
    <w:r w:rsidRPr="00EE0A02">
      <w:rPr>
        <w:rFonts w:asciiTheme="minorHAnsi" w:hAnsiTheme="minorHAnsi"/>
        <w:sz w:val="22"/>
        <w:szCs w:val="22"/>
      </w:rPr>
      <w:fldChar w:fldCharType="begin"/>
    </w:r>
    <w:r w:rsidRPr="00EE0A02">
      <w:rPr>
        <w:rFonts w:asciiTheme="minorHAnsi" w:hAnsiTheme="minorHAnsi"/>
        <w:sz w:val="22"/>
        <w:szCs w:val="22"/>
      </w:rPr>
      <w:instrText>MACROBUTTON MSWField(id_pisemnosti) KUJMXOQAZRBV</w:instrText>
    </w:r>
    <w:r w:rsidRPr="00EE0A02">
      <w:rPr>
        <w:rFonts w:asciiTheme="minorHAnsi" w:hAnsiTheme="minorHAnsi"/>
        <w:sz w:val="22"/>
        <w:szCs w:val="22"/>
      </w:rPr>
      <w:fldChar w:fldCharType="separate"/>
    </w:r>
    <w:r w:rsidRPr="00EE0A02">
      <w:rPr>
        <w:sz w:val="22"/>
        <w:szCs w:val="22"/>
      </w:rPr>
      <w:t>KUJMXOQAZRBV</w:t>
    </w:r>
    <w:r w:rsidRPr="00EE0A02">
      <w:rPr>
        <w:rFonts w:asciiTheme="minorHAnsi" w:hAnsiTheme="minorHAnsi"/>
        <w:sz w:val="22"/>
        <w:szCs w:val="22"/>
      </w:rPr>
      <w:fldChar w:fldCharType="end"/>
    </w:r>
  </w:p>
  <w:p w14:paraId="60FB66B6" w14:textId="767EF615" w:rsidR="00207FB9" w:rsidRDefault="00207F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217"/>
    <w:rsid w:val="00014BFF"/>
    <w:rsid w:val="00014EB4"/>
    <w:rsid w:val="0001501E"/>
    <w:rsid w:val="00016660"/>
    <w:rsid w:val="00017646"/>
    <w:rsid w:val="00020828"/>
    <w:rsid w:val="0002185C"/>
    <w:rsid w:val="0002254B"/>
    <w:rsid w:val="00022A28"/>
    <w:rsid w:val="0002348D"/>
    <w:rsid w:val="00023A70"/>
    <w:rsid w:val="00024783"/>
    <w:rsid w:val="00024D58"/>
    <w:rsid w:val="00025094"/>
    <w:rsid w:val="0002649A"/>
    <w:rsid w:val="00026D8A"/>
    <w:rsid w:val="00027967"/>
    <w:rsid w:val="00027F9B"/>
    <w:rsid w:val="0003117B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7194"/>
    <w:rsid w:val="00047229"/>
    <w:rsid w:val="0004765B"/>
    <w:rsid w:val="00047899"/>
    <w:rsid w:val="00047BC6"/>
    <w:rsid w:val="00047D76"/>
    <w:rsid w:val="00050976"/>
    <w:rsid w:val="00051AC6"/>
    <w:rsid w:val="00051D3E"/>
    <w:rsid w:val="000527A8"/>
    <w:rsid w:val="00052C52"/>
    <w:rsid w:val="00054D9A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67A3A"/>
    <w:rsid w:val="0007012B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CEE"/>
    <w:rsid w:val="000A42D1"/>
    <w:rsid w:val="000A60B6"/>
    <w:rsid w:val="000A6D27"/>
    <w:rsid w:val="000A6DC6"/>
    <w:rsid w:val="000A6F8C"/>
    <w:rsid w:val="000A70E7"/>
    <w:rsid w:val="000A71D6"/>
    <w:rsid w:val="000A7611"/>
    <w:rsid w:val="000B0924"/>
    <w:rsid w:val="000B2466"/>
    <w:rsid w:val="000B266F"/>
    <w:rsid w:val="000B27CB"/>
    <w:rsid w:val="000B3096"/>
    <w:rsid w:val="000B3139"/>
    <w:rsid w:val="000B334A"/>
    <w:rsid w:val="000B35AF"/>
    <w:rsid w:val="000B583B"/>
    <w:rsid w:val="000B6118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B99"/>
    <w:rsid w:val="000D5E2B"/>
    <w:rsid w:val="000D6526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6F2B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18E"/>
    <w:rsid w:val="00117688"/>
    <w:rsid w:val="00117734"/>
    <w:rsid w:val="00117AEA"/>
    <w:rsid w:val="00120660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6157"/>
    <w:rsid w:val="00167129"/>
    <w:rsid w:val="0016740D"/>
    <w:rsid w:val="001705C6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8081A"/>
    <w:rsid w:val="00180FE6"/>
    <w:rsid w:val="001815C1"/>
    <w:rsid w:val="0018221A"/>
    <w:rsid w:val="00182CC2"/>
    <w:rsid w:val="001861F8"/>
    <w:rsid w:val="00186B3D"/>
    <w:rsid w:val="001870D9"/>
    <w:rsid w:val="001878E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931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200403"/>
    <w:rsid w:val="002006FF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842"/>
    <w:rsid w:val="00205BE7"/>
    <w:rsid w:val="00206212"/>
    <w:rsid w:val="00207FB9"/>
    <w:rsid w:val="00210376"/>
    <w:rsid w:val="0021042F"/>
    <w:rsid w:val="0021049E"/>
    <w:rsid w:val="0021276E"/>
    <w:rsid w:val="0021316B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53ED"/>
    <w:rsid w:val="00245CC5"/>
    <w:rsid w:val="00246822"/>
    <w:rsid w:val="0024722D"/>
    <w:rsid w:val="002476B7"/>
    <w:rsid w:val="002478F9"/>
    <w:rsid w:val="00252038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845"/>
    <w:rsid w:val="00261C79"/>
    <w:rsid w:val="00262558"/>
    <w:rsid w:val="00262EA5"/>
    <w:rsid w:val="00263C8B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3D48"/>
    <w:rsid w:val="002744D6"/>
    <w:rsid w:val="0027489D"/>
    <w:rsid w:val="00274EBC"/>
    <w:rsid w:val="00275A31"/>
    <w:rsid w:val="00277D54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4ED8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674E"/>
    <w:rsid w:val="002C6DEA"/>
    <w:rsid w:val="002C6E20"/>
    <w:rsid w:val="002C7126"/>
    <w:rsid w:val="002D0438"/>
    <w:rsid w:val="002D1594"/>
    <w:rsid w:val="002D28DE"/>
    <w:rsid w:val="002D2B1E"/>
    <w:rsid w:val="002D2EB4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107B"/>
    <w:rsid w:val="002E1679"/>
    <w:rsid w:val="002E3A86"/>
    <w:rsid w:val="002E4202"/>
    <w:rsid w:val="002E42EE"/>
    <w:rsid w:val="002E4D55"/>
    <w:rsid w:val="002E5022"/>
    <w:rsid w:val="002E7092"/>
    <w:rsid w:val="002E799C"/>
    <w:rsid w:val="002F1342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013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69CD"/>
    <w:rsid w:val="00326A98"/>
    <w:rsid w:val="00327B11"/>
    <w:rsid w:val="00330455"/>
    <w:rsid w:val="00330580"/>
    <w:rsid w:val="00330C4B"/>
    <w:rsid w:val="003322FE"/>
    <w:rsid w:val="003337AD"/>
    <w:rsid w:val="00334B0E"/>
    <w:rsid w:val="00336D1A"/>
    <w:rsid w:val="00337813"/>
    <w:rsid w:val="00340DBD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1F59"/>
    <w:rsid w:val="00352100"/>
    <w:rsid w:val="0035339A"/>
    <w:rsid w:val="00353EEC"/>
    <w:rsid w:val="00354855"/>
    <w:rsid w:val="003558A6"/>
    <w:rsid w:val="00355FBC"/>
    <w:rsid w:val="003564AC"/>
    <w:rsid w:val="00356C70"/>
    <w:rsid w:val="00356DED"/>
    <w:rsid w:val="00357654"/>
    <w:rsid w:val="0036029B"/>
    <w:rsid w:val="003602CA"/>
    <w:rsid w:val="00360798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159D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7D1"/>
    <w:rsid w:val="003A4838"/>
    <w:rsid w:val="003A56A3"/>
    <w:rsid w:val="003A5DF0"/>
    <w:rsid w:val="003A760B"/>
    <w:rsid w:val="003A7CC7"/>
    <w:rsid w:val="003A7E17"/>
    <w:rsid w:val="003B16CF"/>
    <w:rsid w:val="003B1BF5"/>
    <w:rsid w:val="003B2B33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204E"/>
    <w:rsid w:val="003E2ED6"/>
    <w:rsid w:val="003E3A4E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1115D"/>
    <w:rsid w:val="0041116C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3DDC"/>
    <w:rsid w:val="00424626"/>
    <w:rsid w:val="00424B61"/>
    <w:rsid w:val="00426F15"/>
    <w:rsid w:val="0042748A"/>
    <w:rsid w:val="00430782"/>
    <w:rsid w:val="0043079F"/>
    <w:rsid w:val="0043137F"/>
    <w:rsid w:val="004332E5"/>
    <w:rsid w:val="00433471"/>
    <w:rsid w:val="00433652"/>
    <w:rsid w:val="004345A8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D4E"/>
    <w:rsid w:val="00443598"/>
    <w:rsid w:val="004436B5"/>
    <w:rsid w:val="00443D18"/>
    <w:rsid w:val="0044490B"/>
    <w:rsid w:val="00444CC0"/>
    <w:rsid w:val="00445582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733"/>
    <w:rsid w:val="00496725"/>
    <w:rsid w:val="00496726"/>
    <w:rsid w:val="004972DB"/>
    <w:rsid w:val="004A10B9"/>
    <w:rsid w:val="004A1DA3"/>
    <w:rsid w:val="004A2F50"/>
    <w:rsid w:val="004A365B"/>
    <w:rsid w:val="004A381C"/>
    <w:rsid w:val="004A52E7"/>
    <w:rsid w:val="004A59D0"/>
    <w:rsid w:val="004A61D9"/>
    <w:rsid w:val="004A649A"/>
    <w:rsid w:val="004A67A9"/>
    <w:rsid w:val="004A7EFF"/>
    <w:rsid w:val="004B09A9"/>
    <w:rsid w:val="004B15C4"/>
    <w:rsid w:val="004B1A14"/>
    <w:rsid w:val="004B1FC0"/>
    <w:rsid w:val="004B25C1"/>
    <w:rsid w:val="004B2CA5"/>
    <w:rsid w:val="004B5340"/>
    <w:rsid w:val="004B5A05"/>
    <w:rsid w:val="004B5C75"/>
    <w:rsid w:val="004B68EC"/>
    <w:rsid w:val="004B6C56"/>
    <w:rsid w:val="004B7928"/>
    <w:rsid w:val="004B7A61"/>
    <w:rsid w:val="004C12E8"/>
    <w:rsid w:val="004C1E34"/>
    <w:rsid w:val="004C2236"/>
    <w:rsid w:val="004C3F3A"/>
    <w:rsid w:val="004C4C27"/>
    <w:rsid w:val="004C5B32"/>
    <w:rsid w:val="004C620D"/>
    <w:rsid w:val="004C625B"/>
    <w:rsid w:val="004D06F7"/>
    <w:rsid w:val="004D0A5A"/>
    <w:rsid w:val="004D0CE1"/>
    <w:rsid w:val="004D16F9"/>
    <w:rsid w:val="004D21EF"/>
    <w:rsid w:val="004D3115"/>
    <w:rsid w:val="004D3D9D"/>
    <w:rsid w:val="004D4534"/>
    <w:rsid w:val="004D58C5"/>
    <w:rsid w:val="004D5C23"/>
    <w:rsid w:val="004D61F1"/>
    <w:rsid w:val="004D64B9"/>
    <w:rsid w:val="004D74C5"/>
    <w:rsid w:val="004D7F62"/>
    <w:rsid w:val="004E1178"/>
    <w:rsid w:val="004E1D14"/>
    <w:rsid w:val="004E2258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D5D"/>
    <w:rsid w:val="00523936"/>
    <w:rsid w:val="00523EF9"/>
    <w:rsid w:val="00524C93"/>
    <w:rsid w:val="005260B1"/>
    <w:rsid w:val="005270BD"/>
    <w:rsid w:val="00527261"/>
    <w:rsid w:val="005277BF"/>
    <w:rsid w:val="005279D3"/>
    <w:rsid w:val="00527C4D"/>
    <w:rsid w:val="00527E61"/>
    <w:rsid w:val="005304AF"/>
    <w:rsid w:val="00530567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47EF3"/>
    <w:rsid w:val="00550B00"/>
    <w:rsid w:val="00551526"/>
    <w:rsid w:val="0055224E"/>
    <w:rsid w:val="005522B6"/>
    <w:rsid w:val="00552614"/>
    <w:rsid w:val="005527F9"/>
    <w:rsid w:val="005533FA"/>
    <w:rsid w:val="00554DEE"/>
    <w:rsid w:val="0055527A"/>
    <w:rsid w:val="005569C6"/>
    <w:rsid w:val="00556F37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714FA"/>
    <w:rsid w:val="0057166C"/>
    <w:rsid w:val="00571C71"/>
    <w:rsid w:val="00572A5D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6BE"/>
    <w:rsid w:val="00582BC8"/>
    <w:rsid w:val="00583694"/>
    <w:rsid w:val="00583D6A"/>
    <w:rsid w:val="0058491C"/>
    <w:rsid w:val="00584E5D"/>
    <w:rsid w:val="00586A46"/>
    <w:rsid w:val="00586AFF"/>
    <w:rsid w:val="00587250"/>
    <w:rsid w:val="00590096"/>
    <w:rsid w:val="0059018A"/>
    <w:rsid w:val="00590954"/>
    <w:rsid w:val="00590E8D"/>
    <w:rsid w:val="005931FB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A5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7E3"/>
    <w:rsid w:val="005E587F"/>
    <w:rsid w:val="005E60DC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5CE6"/>
    <w:rsid w:val="0061706B"/>
    <w:rsid w:val="00617ACE"/>
    <w:rsid w:val="0062029F"/>
    <w:rsid w:val="00620684"/>
    <w:rsid w:val="00621917"/>
    <w:rsid w:val="006221C2"/>
    <w:rsid w:val="00623D2F"/>
    <w:rsid w:val="00625107"/>
    <w:rsid w:val="00626F01"/>
    <w:rsid w:val="00626F68"/>
    <w:rsid w:val="006276AB"/>
    <w:rsid w:val="00627BBA"/>
    <w:rsid w:val="00630081"/>
    <w:rsid w:val="00632A2B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4EA5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A6C5B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56E0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B63"/>
    <w:rsid w:val="006E2790"/>
    <w:rsid w:val="006E2A3D"/>
    <w:rsid w:val="006E44FC"/>
    <w:rsid w:val="006E546D"/>
    <w:rsid w:val="006E5F0A"/>
    <w:rsid w:val="006E653D"/>
    <w:rsid w:val="006E6993"/>
    <w:rsid w:val="006E6AA0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2E37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40697"/>
    <w:rsid w:val="0074177A"/>
    <w:rsid w:val="00744583"/>
    <w:rsid w:val="00744CB6"/>
    <w:rsid w:val="00747698"/>
    <w:rsid w:val="00750657"/>
    <w:rsid w:val="00750697"/>
    <w:rsid w:val="00750C70"/>
    <w:rsid w:val="00751B94"/>
    <w:rsid w:val="00752289"/>
    <w:rsid w:val="00752408"/>
    <w:rsid w:val="00752F90"/>
    <w:rsid w:val="00752FDA"/>
    <w:rsid w:val="007533F3"/>
    <w:rsid w:val="0075511D"/>
    <w:rsid w:val="007553D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17E4"/>
    <w:rsid w:val="00782837"/>
    <w:rsid w:val="00784112"/>
    <w:rsid w:val="00785D4C"/>
    <w:rsid w:val="00787AA7"/>
    <w:rsid w:val="00790953"/>
    <w:rsid w:val="007916B1"/>
    <w:rsid w:val="007916E9"/>
    <w:rsid w:val="00791F8B"/>
    <w:rsid w:val="00792AD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65AA"/>
    <w:rsid w:val="00797195"/>
    <w:rsid w:val="007A063B"/>
    <w:rsid w:val="007A0DFD"/>
    <w:rsid w:val="007A202F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2C06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777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EF4"/>
    <w:rsid w:val="0081517F"/>
    <w:rsid w:val="008152D4"/>
    <w:rsid w:val="00815B2F"/>
    <w:rsid w:val="00815DDF"/>
    <w:rsid w:val="008162C1"/>
    <w:rsid w:val="008172DF"/>
    <w:rsid w:val="00817850"/>
    <w:rsid w:val="008200F0"/>
    <w:rsid w:val="0082027D"/>
    <w:rsid w:val="00820A7A"/>
    <w:rsid w:val="00820EAD"/>
    <w:rsid w:val="008227F3"/>
    <w:rsid w:val="00823563"/>
    <w:rsid w:val="00823B9E"/>
    <w:rsid w:val="00823C3A"/>
    <w:rsid w:val="008254E8"/>
    <w:rsid w:val="008265F9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7692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E3C"/>
    <w:rsid w:val="008725C7"/>
    <w:rsid w:val="0087382D"/>
    <w:rsid w:val="0087422C"/>
    <w:rsid w:val="00874C1B"/>
    <w:rsid w:val="00875320"/>
    <w:rsid w:val="0088032E"/>
    <w:rsid w:val="008803DB"/>
    <w:rsid w:val="008806F9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6D1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C35"/>
    <w:rsid w:val="00893EF3"/>
    <w:rsid w:val="0089416A"/>
    <w:rsid w:val="008951C8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27DC"/>
    <w:rsid w:val="008B3122"/>
    <w:rsid w:val="008B430B"/>
    <w:rsid w:val="008B46F2"/>
    <w:rsid w:val="008B47B5"/>
    <w:rsid w:val="008B4AA8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58C2"/>
    <w:rsid w:val="008C5AF7"/>
    <w:rsid w:val="008C66FD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45A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4DC"/>
    <w:rsid w:val="009008FB"/>
    <w:rsid w:val="00900C5C"/>
    <w:rsid w:val="00900D6D"/>
    <w:rsid w:val="0090234B"/>
    <w:rsid w:val="00902D87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F3"/>
    <w:rsid w:val="00914CB7"/>
    <w:rsid w:val="0091676E"/>
    <w:rsid w:val="0091701A"/>
    <w:rsid w:val="00917C1A"/>
    <w:rsid w:val="00917F1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F3"/>
    <w:rsid w:val="0093097D"/>
    <w:rsid w:val="00930AD9"/>
    <w:rsid w:val="0093112E"/>
    <w:rsid w:val="00931640"/>
    <w:rsid w:val="009358C4"/>
    <w:rsid w:val="00935B3A"/>
    <w:rsid w:val="009367D1"/>
    <w:rsid w:val="00936FCB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26D2"/>
    <w:rsid w:val="00973ABA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614"/>
    <w:rsid w:val="00995C2C"/>
    <w:rsid w:val="00996A57"/>
    <w:rsid w:val="00996D18"/>
    <w:rsid w:val="00997433"/>
    <w:rsid w:val="00997B44"/>
    <w:rsid w:val="009A0879"/>
    <w:rsid w:val="009A2FD0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590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307F"/>
    <w:rsid w:val="00A435FC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71A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11EF"/>
    <w:rsid w:val="00A815B5"/>
    <w:rsid w:val="00A8169A"/>
    <w:rsid w:val="00A83223"/>
    <w:rsid w:val="00A8371B"/>
    <w:rsid w:val="00A83B65"/>
    <w:rsid w:val="00A8427C"/>
    <w:rsid w:val="00A85615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151C"/>
    <w:rsid w:val="00AC233C"/>
    <w:rsid w:val="00AC23B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43F6"/>
    <w:rsid w:val="00AE500F"/>
    <w:rsid w:val="00AE5DA3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1161E"/>
    <w:rsid w:val="00B12668"/>
    <w:rsid w:val="00B132C0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3408"/>
    <w:rsid w:val="00B23581"/>
    <w:rsid w:val="00B23CE1"/>
    <w:rsid w:val="00B23ED4"/>
    <w:rsid w:val="00B23F61"/>
    <w:rsid w:val="00B24BB6"/>
    <w:rsid w:val="00B24C3B"/>
    <w:rsid w:val="00B26165"/>
    <w:rsid w:val="00B27847"/>
    <w:rsid w:val="00B2794B"/>
    <w:rsid w:val="00B279F4"/>
    <w:rsid w:val="00B3082B"/>
    <w:rsid w:val="00B30852"/>
    <w:rsid w:val="00B30A39"/>
    <w:rsid w:val="00B30A58"/>
    <w:rsid w:val="00B313D1"/>
    <w:rsid w:val="00B31425"/>
    <w:rsid w:val="00B3171F"/>
    <w:rsid w:val="00B31DFA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297F"/>
    <w:rsid w:val="00B43E20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F0C"/>
    <w:rsid w:val="00B5680D"/>
    <w:rsid w:val="00B61707"/>
    <w:rsid w:val="00B623C2"/>
    <w:rsid w:val="00B62813"/>
    <w:rsid w:val="00B62C10"/>
    <w:rsid w:val="00B632F2"/>
    <w:rsid w:val="00B635D2"/>
    <w:rsid w:val="00B63A3D"/>
    <w:rsid w:val="00B63D0B"/>
    <w:rsid w:val="00B64A30"/>
    <w:rsid w:val="00B6607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89C"/>
    <w:rsid w:val="00B91963"/>
    <w:rsid w:val="00B91C85"/>
    <w:rsid w:val="00B925E1"/>
    <w:rsid w:val="00B92EB3"/>
    <w:rsid w:val="00B95FF3"/>
    <w:rsid w:val="00BA1070"/>
    <w:rsid w:val="00BA3AD1"/>
    <w:rsid w:val="00BA42DE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12B6"/>
    <w:rsid w:val="00BB14B4"/>
    <w:rsid w:val="00BB166B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CD2"/>
    <w:rsid w:val="00BC493D"/>
    <w:rsid w:val="00BC4959"/>
    <w:rsid w:val="00BC597B"/>
    <w:rsid w:val="00BC5BD3"/>
    <w:rsid w:val="00BC6D5E"/>
    <w:rsid w:val="00BD02CA"/>
    <w:rsid w:val="00BD076B"/>
    <w:rsid w:val="00BD08A3"/>
    <w:rsid w:val="00BD1943"/>
    <w:rsid w:val="00BD1D1D"/>
    <w:rsid w:val="00BD20D9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CD1"/>
    <w:rsid w:val="00BF27A6"/>
    <w:rsid w:val="00BF2BFF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40222"/>
    <w:rsid w:val="00C4058E"/>
    <w:rsid w:val="00C40C94"/>
    <w:rsid w:val="00C40CFD"/>
    <w:rsid w:val="00C41B71"/>
    <w:rsid w:val="00C41DF4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18"/>
    <w:rsid w:val="00C54BEE"/>
    <w:rsid w:val="00C559B5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554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2DA4"/>
    <w:rsid w:val="00CB354E"/>
    <w:rsid w:val="00CB625A"/>
    <w:rsid w:val="00CB6D3D"/>
    <w:rsid w:val="00CB6D7C"/>
    <w:rsid w:val="00CB7981"/>
    <w:rsid w:val="00CB7B13"/>
    <w:rsid w:val="00CC0992"/>
    <w:rsid w:val="00CC11F0"/>
    <w:rsid w:val="00CC1DEB"/>
    <w:rsid w:val="00CC3189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91E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FF3"/>
    <w:rsid w:val="00D241F8"/>
    <w:rsid w:val="00D24995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DED"/>
    <w:rsid w:val="00D578EB"/>
    <w:rsid w:val="00D600B0"/>
    <w:rsid w:val="00D6111F"/>
    <w:rsid w:val="00D61416"/>
    <w:rsid w:val="00D641B8"/>
    <w:rsid w:val="00D644A3"/>
    <w:rsid w:val="00D644A4"/>
    <w:rsid w:val="00D650AD"/>
    <w:rsid w:val="00D6628D"/>
    <w:rsid w:val="00D66D64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63B"/>
    <w:rsid w:val="00D908EB"/>
    <w:rsid w:val="00D90AEF"/>
    <w:rsid w:val="00D90BD9"/>
    <w:rsid w:val="00D93472"/>
    <w:rsid w:val="00D93CFB"/>
    <w:rsid w:val="00D94C5E"/>
    <w:rsid w:val="00D957C4"/>
    <w:rsid w:val="00D95BB8"/>
    <w:rsid w:val="00D97626"/>
    <w:rsid w:val="00D97FC0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2BB"/>
    <w:rsid w:val="00DD149A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B5C"/>
    <w:rsid w:val="00DE5D92"/>
    <w:rsid w:val="00DE6244"/>
    <w:rsid w:val="00DE6945"/>
    <w:rsid w:val="00DE6F98"/>
    <w:rsid w:val="00DE7299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5FEE"/>
    <w:rsid w:val="00E0639C"/>
    <w:rsid w:val="00E06EC2"/>
    <w:rsid w:val="00E0742D"/>
    <w:rsid w:val="00E07E67"/>
    <w:rsid w:val="00E10C35"/>
    <w:rsid w:val="00E10E12"/>
    <w:rsid w:val="00E1167E"/>
    <w:rsid w:val="00E11E0F"/>
    <w:rsid w:val="00E122A5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2D8F"/>
    <w:rsid w:val="00E24B4E"/>
    <w:rsid w:val="00E24BCA"/>
    <w:rsid w:val="00E24FEB"/>
    <w:rsid w:val="00E2532A"/>
    <w:rsid w:val="00E2626B"/>
    <w:rsid w:val="00E26C14"/>
    <w:rsid w:val="00E271CD"/>
    <w:rsid w:val="00E31B88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B63"/>
    <w:rsid w:val="00E52D9E"/>
    <w:rsid w:val="00E549C7"/>
    <w:rsid w:val="00E54AB0"/>
    <w:rsid w:val="00E54D36"/>
    <w:rsid w:val="00E56AC2"/>
    <w:rsid w:val="00E56DB0"/>
    <w:rsid w:val="00E56F08"/>
    <w:rsid w:val="00E600C2"/>
    <w:rsid w:val="00E60DEE"/>
    <w:rsid w:val="00E614BB"/>
    <w:rsid w:val="00E61AA4"/>
    <w:rsid w:val="00E61E9D"/>
    <w:rsid w:val="00E61F4F"/>
    <w:rsid w:val="00E6225D"/>
    <w:rsid w:val="00E6233C"/>
    <w:rsid w:val="00E62574"/>
    <w:rsid w:val="00E62684"/>
    <w:rsid w:val="00E62F99"/>
    <w:rsid w:val="00E634EF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691E"/>
    <w:rsid w:val="00E96E82"/>
    <w:rsid w:val="00E96F19"/>
    <w:rsid w:val="00E979A1"/>
    <w:rsid w:val="00E97B63"/>
    <w:rsid w:val="00EA028A"/>
    <w:rsid w:val="00EA10D3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0A02"/>
    <w:rsid w:val="00EE2E59"/>
    <w:rsid w:val="00EE37C7"/>
    <w:rsid w:val="00EE3FBB"/>
    <w:rsid w:val="00EE44A5"/>
    <w:rsid w:val="00EE4FD0"/>
    <w:rsid w:val="00EE6562"/>
    <w:rsid w:val="00EE681F"/>
    <w:rsid w:val="00EE7029"/>
    <w:rsid w:val="00EE78E9"/>
    <w:rsid w:val="00EF0223"/>
    <w:rsid w:val="00EF0CA5"/>
    <w:rsid w:val="00EF1959"/>
    <w:rsid w:val="00EF1B56"/>
    <w:rsid w:val="00EF1C95"/>
    <w:rsid w:val="00EF4594"/>
    <w:rsid w:val="00EF46A1"/>
    <w:rsid w:val="00EF5892"/>
    <w:rsid w:val="00EF5F8C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34E3"/>
    <w:rsid w:val="00F24202"/>
    <w:rsid w:val="00F24E9E"/>
    <w:rsid w:val="00F268C5"/>
    <w:rsid w:val="00F2794F"/>
    <w:rsid w:val="00F27C1E"/>
    <w:rsid w:val="00F30173"/>
    <w:rsid w:val="00F30E07"/>
    <w:rsid w:val="00F32741"/>
    <w:rsid w:val="00F32A76"/>
    <w:rsid w:val="00F33F6C"/>
    <w:rsid w:val="00F34553"/>
    <w:rsid w:val="00F35048"/>
    <w:rsid w:val="00F351B7"/>
    <w:rsid w:val="00F40342"/>
    <w:rsid w:val="00F40357"/>
    <w:rsid w:val="00F41B1C"/>
    <w:rsid w:val="00F42964"/>
    <w:rsid w:val="00F42DBE"/>
    <w:rsid w:val="00F43247"/>
    <w:rsid w:val="00F45255"/>
    <w:rsid w:val="00F4573A"/>
    <w:rsid w:val="00F45829"/>
    <w:rsid w:val="00F46D9F"/>
    <w:rsid w:val="00F470A5"/>
    <w:rsid w:val="00F475F1"/>
    <w:rsid w:val="00F50331"/>
    <w:rsid w:val="00F51319"/>
    <w:rsid w:val="00F51E42"/>
    <w:rsid w:val="00F52450"/>
    <w:rsid w:val="00F53B4C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6BB0"/>
    <w:rsid w:val="00F978CD"/>
    <w:rsid w:val="00FA041B"/>
    <w:rsid w:val="00FA06E2"/>
    <w:rsid w:val="00FA0B10"/>
    <w:rsid w:val="00FA0C27"/>
    <w:rsid w:val="00FA1A80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0"/>
    <w:rsid w:val="00FB5C45"/>
    <w:rsid w:val="00FB6595"/>
    <w:rsid w:val="00FB7522"/>
    <w:rsid w:val="00FB76F8"/>
    <w:rsid w:val="00FC028C"/>
    <w:rsid w:val="00FC1053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4F6A"/>
    <w:rsid w:val="00FD521D"/>
    <w:rsid w:val="00FD65A0"/>
    <w:rsid w:val="00FD6824"/>
    <w:rsid w:val="00FD6A28"/>
    <w:rsid w:val="00FD6C91"/>
    <w:rsid w:val="00FD79AF"/>
    <w:rsid w:val="00FD7D45"/>
    <w:rsid w:val="00FE016F"/>
    <w:rsid w:val="00FE01BB"/>
    <w:rsid w:val="00FE104C"/>
    <w:rsid w:val="00FE15F6"/>
    <w:rsid w:val="00FE31D6"/>
    <w:rsid w:val="00FE3901"/>
    <w:rsid w:val="00FE517A"/>
    <w:rsid w:val="00FE5D5B"/>
    <w:rsid w:val="00FE6714"/>
    <w:rsid w:val="00FE77B9"/>
    <w:rsid w:val="00FF01A6"/>
    <w:rsid w:val="00FF031F"/>
    <w:rsid w:val="00FF0D18"/>
    <w:rsid w:val="00FF0E94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aspi.cz/products/lawText/1/103430/1/ASPI%253A/567/2006%20Sb.%252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2300</Words>
  <Characters>12778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Marek</dc:creator>
  <cp:lastModifiedBy>Hrubá Monika</cp:lastModifiedBy>
  <cp:revision>12</cp:revision>
  <cp:lastPrinted>2025-05-05T06:28:00Z</cp:lastPrinted>
  <dcterms:created xsi:type="dcterms:W3CDTF">2025-06-02T05:20:00Z</dcterms:created>
  <dcterms:modified xsi:type="dcterms:W3CDTF">2025-07-15T10:23:00Z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