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6826" w:h="939" w:hRule="exact" w:wrap="none" w:vAnchor="page" w:hAnchor="page" w:x="2854" w:y="1128"/>
        <w:widowControl w:val="0"/>
        <w:keepNext w:val="0"/>
        <w:keepLines w:val="0"/>
        <w:shd w:val="clear" w:color="auto" w:fill="auto"/>
        <w:bidi w:val="0"/>
        <w:spacing w:before="0" w:after="4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č.: 25/2016</w:t>
      </w:r>
      <w:bookmarkEnd w:id="0"/>
    </w:p>
    <w:p>
      <w:pPr>
        <w:pStyle w:val="Style4"/>
        <w:framePr w:w="6826" w:h="939" w:hRule="exact" w:wrap="none" w:vAnchor="page" w:hAnchor="page" w:x="2854" w:y="11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560" w:firstLine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podnájmu nebytových prostor podle zákona č. 89/2012 Sb. OZ o nájmu a podnájmu nebytových prostor, ve znění pozdějších předpisů</w:t>
      </w:r>
    </w:p>
    <w:p>
      <w:pPr>
        <w:pStyle w:val="Style4"/>
        <w:framePr w:w="2318" w:h="1810" w:hRule="exact" w:wrap="none" w:vAnchor="page" w:hAnchor="page" w:x="872" w:y="258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</w:r>
    </w:p>
    <w:p>
      <w:pPr>
        <w:pStyle w:val="Style4"/>
        <w:framePr w:w="2318" w:h="1810" w:hRule="exact" w:wrap="none" w:vAnchor="page" w:hAnchor="page" w:x="872" w:y="258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ředitelem školy:</w:t>
        <w:br/>
        <w:t>bankovní spojení:</w:t>
      </w:r>
    </w:p>
    <w:p>
      <w:pPr>
        <w:pStyle w:val="Style4"/>
        <w:framePr w:w="2318" w:h="1810" w:hRule="exact" w:wrap="none" w:vAnchor="page" w:hAnchor="page" w:x="872" w:y="258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4"/>
        <w:framePr w:w="2318" w:h="1810" w:hRule="exact" w:wrap="none" w:vAnchor="page" w:hAnchor="page" w:x="872" w:y="258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organizace je plátce DPH</w:t>
      </w:r>
    </w:p>
    <w:p>
      <w:pPr>
        <w:pStyle w:val="Style4"/>
        <w:framePr w:w="2318" w:h="1810" w:hRule="exact" w:wrap="none" w:vAnchor="page" w:hAnchor="page" w:x="872" w:y="258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zapsaná:</w:t>
      </w:r>
    </w:p>
    <w:p>
      <w:pPr>
        <w:pStyle w:val="Style6"/>
        <w:framePr w:w="6826" w:h="545" w:hRule="exact" w:wrap="none" w:vAnchor="page" w:hAnchor="page" w:x="2854" w:y="238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Destinnové, Praha 6, náměstí Svobody 3/930</w:t>
      </w:r>
      <w:bookmarkEnd w:id="1"/>
    </w:p>
    <w:p>
      <w:pPr>
        <w:pStyle w:val="Style8"/>
        <w:framePr w:w="6826" w:h="545" w:hRule="exact" w:wrap="none" w:vAnchor="page" w:hAnchor="page" w:x="2854" w:y="23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6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nám. Svobody 3/930, Praha 6,160 00</w:t>
      </w:r>
    </w:p>
    <w:p>
      <w:pPr>
        <w:pStyle w:val="Style8"/>
        <w:framePr w:w="6826" w:h="926" w:hRule="exact" w:wrap="none" w:vAnchor="page" w:hAnchor="page" w:x="2854" w:y="2887"/>
        <w:widowControl w:val="0"/>
        <w:keepNext w:val="0"/>
        <w:keepLines w:val="0"/>
        <w:shd w:val="clear" w:color="auto" w:fill="auto"/>
        <w:bidi w:val="0"/>
        <w:jc w:val="left"/>
        <w:spacing w:before="0" w:line="288" w:lineRule="exact"/>
        <w:ind w:left="2328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Mgr. Otou Bažantem</w:t>
      </w:r>
    </w:p>
    <w:p>
      <w:pPr>
        <w:pStyle w:val="Style8"/>
        <w:framePr w:w="6826" w:h="926" w:hRule="exact" w:wrap="none" w:vAnchor="page" w:hAnchor="page" w:x="2854" w:y="2887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328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833061/0100</w:t>
      </w:r>
    </w:p>
    <w:p>
      <w:pPr>
        <w:pStyle w:val="Style6"/>
        <w:framePr w:w="6826" w:h="926" w:hRule="exact" w:wrap="none" w:vAnchor="page" w:hAnchor="page" w:x="2854" w:y="2887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328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48133892</w:t>
      </w:r>
      <w:bookmarkEnd w:id="2"/>
    </w:p>
    <w:p>
      <w:pPr>
        <w:pStyle w:val="Style6"/>
        <w:framePr w:wrap="none" w:vAnchor="page" w:hAnchor="page" w:x="2854" w:y="41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23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v RES dne 16.12.1992, čj. MČ P6-ZMČ Č.47/032003/E</w:t>
      </w:r>
      <w:bookmarkEnd w:id="3"/>
    </w:p>
    <w:p>
      <w:pPr>
        <w:pStyle w:val="Style4"/>
        <w:framePr w:wrap="none" w:vAnchor="page" w:hAnchor="page" w:x="867" w:y="470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jen podnajímatel</w:t>
      </w:r>
    </w:p>
    <w:p>
      <w:pPr>
        <w:pStyle w:val="Style4"/>
        <w:framePr w:wrap="none" w:vAnchor="page" w:hAnchor="page" w:x="853" w:y="556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fyzická osoba podnikající:</w:t>
      </w:r>
    </w:p>
    <w:p>
      <w:pPr>
        <w:pStyle w:val="Style6"/>
        <w:framePr w:w="2659" w:h="927" w:hRule="exact" w:wrap="none" w:vAnchor="page" w:hAnchor="page" w:x="5163" w:y="550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Michael Kňažko</w:t>
      </w:r>
      <w:bookmarkEnd w:id="4"/>
    </w:p>
    <w:p>
      <w:pPr>
        <w:pStyle w:val="Style8"/>
        <w:framePr w:w="2659" w:h="927" w:hRule="exact" w:wrap="none" w:vAnchor="page" w:hAnchor="page" w:x="5163" w:y="550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Zelená 27/1990, Praha 6,160 00 66084385</w:t>
      </w:r>
    </w:p>
    <w:p>
      <w:pPr>
        <w:pStyle w:val="Style4"/>
        <w:framePr w:w="1392" w:h="638" w:hRule="exact" w:wrap="none" w:vAnchor="page" w:hAnchor="page" w:x="857" w:y="578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podnikání: IČO:</w:t>
      </w:r>
    </w:p>
    <w:p>
      <w:pPr>
        <w:pStyle w:val="Style4"/>
        <w:framePr w:w="1478" w:h="648" w:hRule="exact" w:wrap="none" w:vAnchor="page" w:hAnchor="page" w:x="853" w:y="635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není plátcem DPH</w:t>
      </w:r>
    </w:p>
    <w:p>
      <w:pPr>
        <w:pStyle w:val="Style4"/>
        <w:framePr w:wrap="none" w:vAnchor="page" w:hAnchor="page" w:x="843" w:y="702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 v Registru živnostenec. podnikání:</w:t>
      </w:r>
    </w:p>
    <w:p>
      <w:pPr>
        <w:pStyle w:val="Style6"/>
        <w:framePr w:w="5813" w:h="922" w:hRule="exact" w:wrap="none" w:vAnchor="page" w:hAnchor="page" w:x="5153" w:y="695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Zapsán v Registru živnostenského podnikání, MČ P6,</w:t>
      </w:r>
      <w:bookmarkEnd w:id="5"/>
    </w:p>
    <w:p>
      <w:pPr>
        <w:pStyle w:val="Style8"/>
        <w:framePr w:w="5813" w:h="922" w:hRule="exact" w:wrap="none" w:vAnchor="page" w:hAnchor="page" w:x="5153" w:y="695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Úřad městské části, odbor živnostenský, č.j. ŽO/0051159/97/Zak/001, ev.č.350801-002348100, živnostenský list vydán v Praze 30.5.2003</w:t>
      </w:r>
    </w:p>
    <w:p>
      <w:pPr>
        <w:pStyle w:val="Style4"/>
        <w:framePr w:wrap="none" w:vAnchor="page" w:hAnchor="page" w:x="776" w:y="7885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15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</w:t>
      </w:r>
    </w:p>
    <w:p>
      <w:pPr>
        <w:pStyle w:val="Style4"/>
        <w:framePr w:w="9475" w:h="3454" w:hRule="exact" w:wrap="none" w:vAnchor="page" w:hAnchor="page" w:x="776" w:y="8462"/>
        <w:widowControl w:val="0"/>
        <w:keepNext w:val="0"/>
        <w:keepLines w:val="0"/>
        <w:shd w:val="clear" w:color="auto" w:fill="auto"/>
        <w:bidi w:val="0"/>
        <w:jc w:val="both"/>
        <w:spacing w:before="0" w:after="680" w:line="190" w:lineRule="exact"/>
        <w:ind w:left="0" w:right="1500" w:firstLine="0"/>
      </w:pPr>
      <w:r>
        <w:rPr>
          <w:rStyle w:val="CharStyle10"/>
        </w:rPr>
        <w:t>dále jen podnájemce</w:t>
      </w:r>
    </w:p>
    <w:p>
      <w:pPr>
        <w:pStyle w:val="Style4"/>
        <w:framePr w:w="9475" w:h="3454" w:hRule="exact" w:wrap="none" w:vAnchor="page" w:hAnchor="page" w:x="776" w:y="8462"/>
        <w:widowControl w:val="0"/>
        <w:keepNext w:val="0"/>
        <w:keepLines w:val="0"/>
        <w:shd w:val="clear" w:color="auto" w:fill="auto"/>
        <w:bidi w:val="0"/>
        <w:jc w:val="both"/>
        <w:spacing w:before="0" w:after="302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podnájemní smlouvu o dočasném užívání prostor školy na dobu nejdéle jednoho roku.</w:t>
      </w:r>
    </w:p>
    <w:p>
      <w:pPr>
        <w:pStyle w:val="Style4"/>
        <w:framePr w:w="9475" w:h="3454" w:hRule="exact" w:wrap="none" w:vAnchor="page" w:hAnchor="page" w:x="776" w:y="8462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1</w:t>
      </w:r>
    </w:p>
    <w:p>
      <w:pPr>
        <w:pStyle w:val="Style4"/>
        <w:framePr w:w="9475" w:h="3454" w:hRule="exact" w:wrap="none" w:vAnchor="page" w:hAnchor="page" w:x="776" w:y="846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Podnajímatel prohlašuje, že je v souladu se smlouvou o nájmu nemovitosti uzavřenou dne 12. 9. 2005 s Městskou částí Praha 6 oprávněn podnajímat níže uvedené prostory.</w:t>
      </w:r>
    </w:p>
    <w:p>
      <w:pPr>
        <w:pStyle w:val="Style8"/>
        <w:framePr w:w="9475" w:h="3454" w:hRule="exact" w:wrap="none" w:vAnchor="page" w:hAnchor="page" w:x="776" w:y="8462"/>
        <w:tabs>
          <w:tab w:leader="none" w:pos="4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rStyle w:val="CharStyle11"/>
          <w:b w:val="0"/>
          <w:bCs w:val="0"/>
        </w:rPr>
        <w:t>Podnajímány jsou tyto prostory: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herna, aula , tělocvična (Českomalínská 35)</w:t>
      </w:r>
    </w:p>
    <w:p>
      <w:pPr>
        <w:pStyle w:val="Style8"/>
        <w:framePr w:w="9475" w:h="3454" w:hRule="exact" w:wrap="none" w:vAnchor="page" w:hAnchor="page" w:x="776" w:y="8462"/>
        <w:tabs>
          <w:tab w:leader="none" w:pos="4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rStyle w:val="CharStyle11"/>
          <w:b w:val="0"/>
          <w:bCs w:val="0"/>
        </w:rPr>
        <w:t>rozloha prostor: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120m2, 312m2, 95m2</w:t>
      </w:r>
    </w:p>
    <w:p>
      <w:pPr>
        <w:pStyle w:val="Style4"/>
        <w:framePr w:w="9475" w:h="3454" w:hRule="exact" w:wrap="none" w:vAnchor="page" w:hAnchor="page" w:x="776" w:y="8462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Výše uvedené prostory budou užívány podnájemcem v době:</w:t>
      </w:r>
    </w:p>
    <w:p>
      <w:pPr>
        <w:pStyle w:val="Style8"/>
        <w:framePr w:w="9475" w:h="3454" w:hRule="exact" w:wrap="none" w:vAnchor="page" w:hAnchor="page" w:x="776" w:y="8462"/>
        <w:tabs>
          <w:tab w:leader="none" w:pos="4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herna</w:t>
        <w:tab/>
        <w:t>pondělí od 18.00 do 21.00 hod, čtvrtek od 18.00 do 21.00 hod</w:t>
      </w:r>
    </w:p>
    <w:p>
      <w:pPr>
        <w:pStyle w:val="Style8"/>
        <w:framePr w:w="9475" w:h="3454" w:hRule="exact" w:wrap="none" w:vAnchor="page" w:hAnchor="page" w:x="776" w:y="8462"/>
        <w:tabs>
          <w:tab w:leader="none" w:pos="4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aula</w:t>
        <w:tab/>
        <w:t>středa od 18.00 do 20.00 hod.</w:t>
      </w:r>
    </w:p>
    <w:p>
      <w:pPr>
        <w:pStyle w:val="Style8"/>
        <w:framePr w:w="9475" w:h="3454" w:hRule="exact" w:wrap="none" w:vAnchor="page" w:hAnchor="page" w:x="776" w:y="8462"/>
        <w:tabs>
          <w:tab w:leader="none" w:pos="4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tělocvična ČM</w:t>
        <w:tab/>
        <w:t>úterý od 18.00 do 21.00 hod</w:t>
      </w:r>
    </w:p>
    <w:p>
      <w:pPr>
        <w:pStyle w:val="Style4"/>
        <w:framePr w:w="9475" w:h="561" w:hRule="exact" w:wrap="none" w:vAnchor="page" w:hAnchor="page" w:x="776" w:y="11906"/>
        <w:widowControl w:val="0"/>
        <w:keepNext w:val="0"/>
        <w:keepLines w:val="0"/>
        <w:shd w:val="clear" w:color="auto" w:fill="auto"/>
        <w:bidi w:val="0"/>
        <w:jc w:val="both"/>
        <w:spacing w:before="0" w:after="10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2</w:t>
      </w:r>
    </w:p>
    <w:p>
      <w:pPr>
        <w:pStyle w:val="Style4"/>
        <w:framePr w:w="9475" w:h="561" w:hRule="exact" w:wrap="none" w:vAnchor="page" w:hAnchor="page" w:x="776" w:y="11906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podnájmu se sjednává na dobu určitou:</w:t>
      </w:r>
    </w:p>
    <w:p>
      <w:pPr>
        <w:pStyle w:val="Style6"/>
        <w:framePr w:wrap="none" w:vAnchor="page" w:hAnchor="page" w:x="776" w:y="125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38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3.10.2016-15.6.2017</w:t>
      </w:r>
      <w:bookmarkEnd w:id="6"/>
    </w:p>
    <w:p>
      <w:pPr>
        <w:pStyle w:val="Style4"/>
        <w:framePr w:w="9475" w:h="557" w:hRule="exact" w:wrap="none" w:vAnchor="page" w:hAnchor="page" w:x="776" w:y="13068"/>
        <w:widowControl w:val="0"/>
        <w:keepNext w:val="0"/>
        <w:keepLines w:val="0"/>
        <w:shd w:val="clear" w:color="auto" w:fill="auto"/>
        <w:bidi w:val="0"/>
        <w:jc w:val="both"/>
        <w:spacing w:before="0" w:after="10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3</w:t>
      </w:r>
    </w:p>
    <w:p>
      <w:pPr>
        <w:pStyle w:val="Style4"/>
        <w:framePr w:w="9475" w:h="557" w:hRule="exact" w:wrap="none" w:vAnchor="page" w:hAnchor="page" w:x="776" w:y="13068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je oprávněn shora vymezené prostory užívat pouze za účelem:</w:t>
      </w:r>
    </w:p>
    <w:p>
      <w:pPr>
        <w:pStyle w:val="Style6"/>
        <w:framePr w:wrap="none" w:vAnchor="page" w:hAnchor="page" w:x="776" w:y="136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38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výuka tai-či</w:t>
      </w:r>
      <w:bookmarkEnd w:id="7"/>
    </w:p>
    <w:p>
      <w:pPr>
        <w:pStyle w:val="Style4"/>
        <w:framePr w:w="9475" w:h="562" w:hRule="exact" w:wrap="none" w:vAnchor="page" w:hAnchor="page" w:x="776" w:y="14806"/>
        <w:widowControl w:val="0"/>
        <w:keepNext w:val="0"/>
        <w:keepLines w:val="0"/>
        <w:shd w:val="clear" w:color="auto" w:fill="auto"/>
        <w:bidi w:val="0"/>
        <w:jc w:val="both"/>
        <w:spacing w:before="0" w:after="10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4</w:t>
      </w:r>
    </w:p>
    <w:p>
      <w:pPr>
        <w:pStyle w:val="Style4"/>
        <w:framePr w:w="9475" w:h="562" w:hRule="exact" w:wrap="none" w:vAnchor="page" w:hAnchor="page" w:x="776" w:y="14806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se zavazuje platit podnajímateli za podnájem výše uvedených prostor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1834" w:h="634" w:hRule="exact" w:wrap="none" w:vAnchor="page" w:hAnchor="page" w:x="812" w:y="1067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úhradu ve výši celkem slovy:</w:t>
      </w:r>
    </w:p>
    <w:p>
      <w:pPr>
        <w:pStyle w:val="Style6"/>
        <w:framePr w:w="1829" w:h="643" w:hRule="exact" w:wrap="none" w:vAnchor="page" w:hAnchor="page" w:x="5136" w:y="1068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63 000,00 Kč šedesáttřitisíce korun</w:t>
      </w:r>
      <w:bookmarkEnd w:id="8"/>
    </w:p>
    <w:p>
      <w:pPr>
        <w:pStyle w:val="Style4"/>
        <w:framePr w:wrap="none" w:vAnchor="page" w:hAnchor="page" w:x="701" w:y="259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viz tabulka</w:t>
      </w:r>
    </w:p>
    <w:p>
      <w:pPr>
        <w:pStyle w:val="Style12"/>
        <w:framePr w:wrap="none" w:vAnchor="page" w:hAnchor="page" w:x="802" w:y="31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herna PONDĚLÍ</w:t>
      </w:r>
    </w:p>
    <w:tbl>
      <w:tblPr>
        <w:tblOverlap w:val="never"/>
        <w:tblLayout w:type="fixed"/>
        <w:jc w:val="left"/>
      </w:tblPr>
      <w:tblGrid>
        <w:gridCol w:w="2189"/>
        <w:gridCol w:w="2165"/>
        <w:gridCol w:w="2155"/>
        <w:gridCol w:w="2150"/>
        <w:gridCol w:w="2170"/>
      </w:tblGrid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14"/>
              </w:rPr>
              <w:t>cena za podnájem/ 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4"/>
              </w:rPr>
              <w:t>celkem za celou dobu 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cena celkem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36,0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5 400,00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5 400,00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54,0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8 100,00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8 100,00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829" w:h="1502" w:wrap="none" w:vAnchor="page" w:hAnchor="page" w:x="749" w:y="34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829" w:h="1502" w:wrap="none" w:vAnchor="page" w:hAnchor="page" w:x="749" w:y="34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13 500,00</w:t>
            </w:r>
          </w:p>
        </w:tc>
      </w:tr>
    </w:tbl>
    <w:p>
      <w:pPr>
        <w:pStyle w:val="Style12"/>
        <w:framePr w:wrap="none" w:vAnchor="page" w:hAnchor="page" w:x="788" w:y="51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herna ČTVRTEK</w:t>
      </w:r>
    </w:p>
    <w:tbl>
      <w:tblPr>
        <w:tblOverlap w:val="never"/>
        <w:tblLayout w:type="fixed"/>
        <w:jc w:val="left"/>
      </w:tblPr>
      <w:tblGrid>
        <w:gridCol w:w="2184"/>
        <w:gridCol w:w="2165"/>
        <w:gridCol w:w="2150"/>
        <w:gridCol w:w="2155"/>
        <w:gridCol w:w="2165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cena celkem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30,0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4 500,00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4 500,00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66,0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9 900,00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9 900,00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819" w:h="1205" w:wrap="none" w:vAnchor="page" w:hAnchor="page" w:x="740" w:y="54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819" w:h="1205" w:wrap="none" w:vAnchor="page" w:hAnchor="page" w:x="740" w:y="5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14 400,00</w:t>
            </w:r>
          </w:p>
        </w:tc>
      </w:tr>
    </w:tbl>
    <w:p>
      <w:pPr>
        <w:pStyle w:val="Style12"/>
        <w:framePr w:wrap="none" w:vAnchor="page" w:hAnchor="page" w:x="768" w:y="69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aula STŘEDA</w:t>
      </w:r>
    </w:p>
    <w:tbl>
      <w:tblPr>
        <w:tblOverlap w:val="never"/>
        <w:tblLayout w:type="fixed"/>
        <w:jc w:val="left"/>
      </w:tblPr>
      <w:tblGrid>
        <w:gridCol w:w="2184"/>
        <w:gridCol w:w="2165"/>
        <w:gridCol w:w="2150"/>
        <w:gridCol w:w="2155"/>
        <w:gridCol w:w="2170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6 000,00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6 000,00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46,0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13 800,00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13 800,00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824" w:h="1200" w:wrap="none" w:vAnchor="page" w:hAnchor="page" w:x="725" w:y="71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25" w:y="71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19 800,00</w:t>
            </w:r>
          </w:p>
        </w:tc>
      </w:tr>
    </w:tbl>
    <w:p>
      <w:pPr>
        <w:pStyle w:val="Style12"/>
        <w:framePr w:wrap="none" w:vAnchor="page" w:hAnchor="page" w:x="749" w:y="86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tělocvična ČM ÚTERÝ</w:t>
      </w:r>
    </w:p>
    <w:tbl>
      <w:tblPr>
        <w:tblOverlap w:val="never"/>
        <w:tblLayout w:type="fixed"/>
        <w:jc w:val="left"/>
      </w:tblPr>
      <w:tblGrid>
        <w:gridCol w:w="2189"/>
        <w:gridCol w:w="2160"/>
        <w:gridCol w:w="2150"/>
        <w:gridCol w:w="2155"/>
        <w:gridCol w:w="2170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36,0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5 400,00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5 400,00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66,0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9 900,00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9 900,00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824" w:h="1200" w:wrap="none" w:vAnchor="page" w:hAnchor="page" w:x="711" w:y="8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824" w:h="1200" w:wrap="none" w:vAnchor="page" w:hAnchor="page" w:x="711" w:y="89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15 300,00</w:t>
            </w:r>
          </w:p>
        </w:tc>
      </w:tr>
    </w:tbl>
    <w:p>
      <w:pPr>
        <w:pStyle w:val="Style4"/>
        <w:framePr w:w="10877" w:h="4685" w:hRule="exact" w:wrap="none" w:vAnchor="page" w:hAnchor="page" w:x="701" w:y="1034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Sjednanou platbu podnájmu uhradí podnájemce takto:</w:t>
      </w:r>
    </w:p>
    <w:p>
      <w:pPr>
        <w:pStyle w:val="Style8"/>
        <w:numPr>
          <w:ilvl w:val="0"/>
          <w:numId w:val="1"/>
        </w:numPr>
        <w:framePr w:w="10877" w:h="4685" w:hRule="exact" w:wrap="none" w:vAnchor="page" w:hAnchor="page" w:x="701" w:y="10341"/>
        <w:tabs>
          <w:tab w:leader="none" w:pos="325" w:val="left"/>
          <w:tab w:leader="none" w:pos="4001" w:val="left"/>
          <w:tab w:leader="none" w:pos="64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11"/>
          <w:b w:val="0"/>
          <w:bCs w:val="0"/>
        </w:rPr>
        <w:t>splátka</w:t>
        <w:tab/>
        <w:t xml:space="preserve">do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15.12.2016</w:t>
        <w:tab/>
        <w:t>21300,00</w:t>
      </w:r>
    </w:p>
    <w:p>
      <w:pPr>
        <w:pStyle w:val="Style8"/>
        <w:numPr>
          <w:ilvl w:val="0"/>
          <w:numId w:val="1"/>
        </w:numPr>
        <w:framePr w:w="10877" w:h="4685" w:hRule="exact" w:wrap="none" w:vAnchor="page" w:hAnchor="page" w:x="701" w:y="10341"/>
        <w:tabs>
          <w:tab w:leader="none" w:pos="325" w:val="left"/>
          <w:tab w:leader="none" w:pos="4001" w:val="left"/>
          <w:tab w:leader="none" w:pos="64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11"/>
          <w:b w:val="0"/>
          <w:bCs w:val="0"/>
        </w:rPr>
        <w:t>splátka</w:t>
        <w:tab/>
        <w:t xml:space="preserve">do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1.</w:t>
      </w:r>
      <w:r>
        <w:rPr>
          <w:rStyle w:val="CharStyle15"/>
          <w:b w:val="0"/>
          <w:bCs w:val="0"/>
        </w:rPr>
        <w:t>6</w:t>
      </w:r>
      <w:r>
        <w:rPr>
          <w:rStyle w:val="CharStyle16"/>
          <w:b/>
          <w:bCs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2017</w:t>
        <w:tab/>
        <w:t>41700,00</w:t>
      </w:r>
    </w:p>
    <w:p>
      <w:pPr>
        <w:pStyle w:val="Style4"/>
        <w:framePr w:w="10877" w:h="4685" w:hRule="exact" w:wrap="none" w:vAnchor="page" w:hAnchor="page" w:x="701" w:y="1034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Podnájemné bude hrazeno na účet školy č. 833061/0100 na základě daňového dokladu vystaveného podnajímatelem.</w:t>
      </w:r>
    </w:p>
    <w:p>
      <w:pPr>
        <w:pStyle w:val="Style4"/>
        <w:framePr w:w="10877" w:h="4685" w:hRule="exact" w:wrap="none" w:vAnchor="page" w:hAnchor="page" w:x="701" w:y="1034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Neuhrazení podnájemného do shora uvedených termínu opravňuje podnajímatele k okamžitému odstoupení od smlouvy.</w:t>
      </w:r>
    </w:p>
    <w:p>
      <w:pPr>
        <w:pStyle w:val="Style4"/>
        <w:framePr w:w="10877" w:h="4685" w:hRule="exact" w:wrap="none" w:vAnchor="page" w:hAnchor="page" w:x="701" w:y="10341"/>
        <w:widowControl w:val="0"/>
        <w:keepNext w:val="0"/>
        <w:keepLines w:val="0"/>
        <w:shd w:val="clear" w:color="auto" w:fill="auto"/>
        <w:bidi w:val="0"/>
        <w:jc w:val="left"/>
        <w:spacing w:before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Podnájemné je osvobozeno od DPH.</w:t>
      </w:r>
    </w:p>
    <w:p>
      <w:pPr>
        <w:pStyle w:val="Style4"/>
        <w:framePr w:w="10877" w:h="4685" w:hRule="exact" w:wrap="none" w:vAnchor="page" w:hAnchor="page" w:x="701" w:y="1034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5</w:t>
      </w:r>
    </w:p>
    <w:p>
      <w:pPr>
        <w:pStyle w:val="Style4"/>
        <w:framePr w:w="10877" w:h="4685" w:hRule="exact" w:wrap="none" w:vAnchor="page" w:hAnchor="page" w:x="701" w:y="1034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je oprávněn v podnajatých prostorách provozovat činnost způsobem stanoveným ve smlouvě a v souladu se školním řádem a s dalšími vnitřními předpisy školy.</w:t>
      </w:r>
    </w:p>
    <w:p>
      <w:pPr>
        <w:pStyle w:val="Style4"/>
        <w:framePr w:w="10877" w:h="4685" w:hRule="exact" w:wrap="none" w:vAnchor="page" w:hAnchor="page" w:x="701" w:y="1034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se zavazuje, že v podnajatých prostorách nebude plýtvat energií, bude šetřit vybavení školy a v provozních otázkách se bude řídit pokyny odpovědného pracovníka školy.</w:t>
      </w:r>
    </w:p>
    <w:p>
      <w:pPr>
        <w:pStyle w:val="Style4"/>
        <w:framePr w:w="10877" w:h="4685" w:hRule="exact" w:wrap="none" w:vAnchor="page" w:hAnchor="page" w:x="701" w:y="1034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odpovídá za škody způsobené v důsledku užívání podnajatých prostor, a to jak samotným podnájemcem, tak i osobami, kterým umožní do podnajatých prostor vstup.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10877" w:h="3527" w:hRule="exact" w:wrap="none" w:vAnchor="page" w:hAnchor="page" w:x="681" w:y="107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Platnosti tato smlouva nabývá dnem podpisu oběma smluvními stranami.</w:t>
      </w:r>
    </w:p>
    <w:p>
      <w:pPr>
        <w:pStyle w:val="Style4"/>
        <w:framePr w:w="10877" w:h="3527" w:hRule="exact" w:wrap="none" w:vAnchor="page" w:hAnchor="page" w:x="681" w:y="107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80" w:right="2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smlouvy mohou být učiněny pouze formou písemných dodatků podepsaných oběma smluvními stranami.</w:t>
      </w:r>
    </w:p>
    <w:p>
      <w:pPr>
        <w:pStyle w:val="Style4"/>
        <w:framePr w:w="10877" w:h="3527" w:hRule="exact" w:wrap="none" w:vAnchor="page" w:hAnchor="page" w:x="681" w:y="1072"/>
        <w:widowControl w:val="0"/>
        <w:keepNext w:val="0"/>
        <w:keepLines w:val="0"/>
        <w:shd w:val="clear" w:color="auto" w:fill="auto"/>
        <w:bidi w:val="0"/>
        <w:jc w:val="left"/>
        <w:spacing w:before="0" w:line="288" w:lineRule="exact"/>
        <w:ind w:left="180" w:right="2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dvou vyhotoveních, z nichž podnajímatel obdrží jedno a podnájemce jedno.</w:t>
      </w:r>
    </w:p>
    <w:p>
      <w:pPr>
        <w:pStyle w:val="Style17"/>
        <w:framePr w:w="10877" w:h="3527" w:hRule="exact" w:wrap="none" w:vAnchor="page" w:hAnchor="page" w:x="681" w:y="10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7</w:t>
      </w:r>
    </w:p>
    <w:p>
      <w:pPr>
        <w:pStyle w:val="Style4"/>
        <w:framePr w:w="10877" w:h="3527" w:hRule="exact" w:wrap="none" w:vAnchor="page" w:hAnchor="page" w:x="681" w:y="1072"/>
        <w:widowControl w:val="0"/>
        <w:keepNext w:val="0"/>
        <w:keepLines w:val="0"/>
        <w:shd w:val="clear" w:color="auto" w:fill="auto"/>
        <w:bidi w:val="0"/>
        <w:jc w:val="left"/>
        <w:spacing w:before="0" w:after="378" w:line="288" w:lineRule="exact"/>
        <w:ind w:left="180" w:right="2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bere na vědomí, že podnajímatel je povinen na dotaz třetí osoby poskytovat informace podle ustanovení zák. č. 106/1999 Sb., o svobodném přístupu k informacím, ve znění pozdějších předpisů.</w:t>
      </w:r>
    </w:p>
    <w:p>
      <w:pPr>
        <w:pStyle w:val="Style4"/>
        <w:framePr w:w="10877" w:h="3527" w:hRule="exact" w:wrap="none" w:vAnchor="page" w:hAnchor="page" w:x="681" w:y="1072"/>
        <w:tabs>
          <w:tab w:leader="none" w:pos="23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  <w:tab/>
      </w:r>
      <w:r>
        <w:rPr>
          <w:rStyle w:val="CharStyle19"/>
        </w:rPr>
        <w:t>1.10. 2016</w:t>
      </w:r>
    </w:p>
    <w:p>
      <w:pPr>
        <w:pStyle w:val="Style4"/>
        <w:framePr w:wrap="none" w:vAnchor="page" w:hAnchor="page" w:x="816" w:y="522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Podnájemce:</w:t>
      </w:r>
    </w:p>
    <w:p>
      <w:pPr>
        <w:pStyle w:val="Style4"/>
        <w:framePr w:wrap="none" w:vAnchor="page" w:hAnchor="page" w:x="681" w:y="524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6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Podnajímatel: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7">
    <w:name w:val="Heading #2_"/>
    <w:basedOn w:val="DefaultParagraphFont"/>
    <w:link w:val="Style6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0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1">
    <w:name w:val="Body text (3) + 10 pt,Not Bold"/>
    <w:basedOn w:val="CharStyle9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3">
    <w:name w:val="Table caption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4">
    <w:name w:val="Body text (2) + 9.5 pt,Bold"/>
    <w:basedOn w:val="CharStyle5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5">
    <w:name w:val="Body text (3) + Baskerville Old Face,Not Bold"/>
    <w:basedOn w:val="CharStyle9"/>
    <w:rPr>
      <w:lang w:val="cs-CZ" w:eastAsia="cs-CZ" w:bidi="cs-CZ"/>
      <w:b/>
      <w:bCs/>
      <w:rFonts w:ascii="Baskerville Old Face" w:eastAsia="Baskerville Old Face" w:hAnsi="Baskerville Old Face" w:cs="Baskerville Old Face"/>
      <w:w w:val="100"/>
      <w:spacing w:val="0"/>
      <w:color w:val="000000"/>
      <w:position w:val="0"/>
    </w:rPr>
  </w:style>
  <w:style w:type="character" w:customStyle="1" w:styleId="CharStyle16">
    <w:name w:val="Body text (3) + Corbel,11 pt"/>
    <w:basedOn w:val="CharStyle9"/>
    <w:rPr>
      <w:lang w:val="cs-CZ" w:eastAsia="cs-CZ" w:bidi="cs-CZ"/>
      <w:sz w:val="22"/>
      <w:szCs w:val="22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18">
    <w:name w:val="Body text (4)_"/>
    <w:basedOn w:val="DefaultParagraphFont"/>
    <w:link w:val="Style17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9">
    <w:name w:val="Body text (2) + 9.5 pt,Bold"/>
    <w:basedOn w:val="CharStyle5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after="60" w:line="26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before="60" w:after="300" w:line="29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6">
    <w:name w:val="Heading #2"/>
    <w:basedOn w:val="Normal"/>
    <w:link w:val="CharStyle7"/>
    <w:pPr>
      <w:widowControl w:val="0"/>
      <w:shd w:val="clear" w:color="auto" w:fill="FFFFFF"/>
      <w:outlineLvl w:val="1"/>
      <w:spacing w:before="300" w:after="60" w:line="19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60" w:after="60" w:line="19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7">
    <w:name w:val="Body text (4)"/>
    <w:basedOn w:val="Normal"/>
    <w:link w:val="CharStyle18"/>
    <w:pPr>
      <w:widowControl w:val="0"/>
      <w:shd w:val="clear" w:color="auto" w:fill="FFFFFF"/>
      <w:spacing w:before="300" w:line="288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