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8" w:rsidRPr="00FD2872" w:rsidRDefault="004A27F4" w:rsidP="005D691F">
      <w:pPr>
        <w:pStyle w:val="Nadpis1"/>
        <w:pBdr>
          <w:bottom w:val="thinThickSmallGap" w:sz="12" w:space="0" w:color="943634"/>
        </w:pBdr>
        <w:rPr>
          <w:lang w:val="cs-CZ"/>
        </w:rPr>
      </w:pPr>
      <w:r w:rsidRPr="00FD2872">
        <w:rPr>
          <w:lang w:val="cs-CZ"/>
        </w:rPr>
        <w:t xml:space="preserve">PŘÍKAZNÍ </w:t>
      </w:r>
      <w:r w:rsidRPr="005D691F">
        <w:rPr>
          <w:lang w:val="cs-CZ"/>
        </w:rPr>
        <w:t>SMLOUVA</w:t>
      </w:r>
      <w:r w:rsidR="00CE2953" w:rsidRPr="005D691F">
        <w:rPr>
          <w:lang w:val="cs-CZ"/>
        </w:rPr>
        <w:t xml:space="preserve"> </w:t>
      </w:r>
      <w:r w:rsidR="005B643E" w:rsidRPr="005D691F">
        <w:rPr>
          <w:lang w:val="cs-CZ"/>
        </w:rPr>
        <w:t xml:space="preserve">č. </w:t>
      </w:r>
      <w:r w:rsidR="00373EDC" w:rsidRPr="005D691F">
        <w:rPr>
          <w:lang w:val="cs-CZ"/>
        </w:rPr>
        <w:t>SML-Z-</w:t>
      </w:r>
      <w:r w:rsidR="00003077">
        <w:rPr>
          <w:lang w:val="cs-CZ"/>
        </w:rPr>
        <w:t>M</w:t>
      </w:r>
      <w:r w:rsidR="00373EDC" w:rsidRPr="005D691F">
        <w:rPr>
          <w:lang w:val="cs-CZ"/>
        </w:rPr>
        <w:t>-1</w:t>
      </w:r>
      <w:r w:rsidR="005D691F" w:rsidRPr="005D691F">
        <w:rPr>
          <w:lang w:val="cs-CZ"/>
        </w:rPr>
        <w:t>7</w:t>
      </w:r>
      <w:r w:rsidR="00373EDC" w:rsidRPr="005D691F">
        <w:rPr>
          <w:lang w:val="cs-CZ"/>
        </w:rPr>
        <w:t>-</w:t>
      </w:r>
      <w:r w:rsidR="00003077">
        <w:rPr>
          <w:lang w:val="cs-CZ"/>
        </w:rPr>
        <w:t>247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FD2872" w:rsidRDefault="00340DFA" w:rsidP="003750F4">
      <w:pPr>
        <w:jc w:val="center"/>
        <w:rPr>
          <w:lang w:val="cs-CZ"/>
        </w:rPr>
      </w:pPr>
    </w:p>
    <w:p w:rsidR="005D691F" w:rsidRDefault="005D691F" w:rsidP="005D691F">
      <w:pPr>
        <w:jc w:val="center"/>
        <w:rPr>
          <w:rStyle w:val="tsubjname"/>
        </w:rPr>
      </w:pPr>
    </w:p>
    <w:p w:rsidR="00E831C1" w:rsidRPr="00374911" w:rsidRDefault="00003077" w:rsidP="00E831C1">
      <w:pPr>
        <w:jc w:val="center"/>
        <w:rPr>
          <w:b/>
          <w:lang w:val="cs-CZ"/>
        </w:rPr>
      </w:pPr>
      <w:r w:rsidRPr="00003077">
        <w:rPr>
          <w:b/>
          <w:bCs/>
          <w:lang w:val="cs-CZ"/>
        </w:rPr>
        <w:t>Střední průmyslová škola chemická Brno, Vranovská, příspěvková organizace</w:t>
      </w:r>
    </w:p>
    <w:p w:rsidR="00E831C1" w:rsidRPr="0064464E" w:rsidRDefault="00E831C1" w:rsidP="00E831C1">
      <w:pPr>
        <w:jc w:val="center"/>
        <w:rPr>
          <w:bCs/>
          <w:lang w:val="cs-CZ"/>
        </w:rPr>
      </w:pPr>
      <w:r w:rsidRPr="0064464E">
        <w:rPr>
          <w:bCs/>
          <w:lang w:val="cs-CZ"/>
        </w:rPr>
        <w:t>s</w:t>
      </w:r>
      <w:r>
        <w:rPr>
          <w:bCs/>
          <w:lang w:val="cs-CZ"/>
        </w:rPr>
        <w:t xml:space="preserve">e </w:t>
      </w:r>
      <w:r w:rsidRPr="00374911">
        <w:rPr>
          <w:bCs/>
          <w:lang w:val="cs-CZ"/>
        </w:rPr>
        <w:t xml:space="preserve">sídlem: </w:t>
      </w:r>
      <w:r w:rsidR="00003077" w:rsidRPr="00003077">
        <w:rPr>
          <w:bCs/>
          <w:lang w:val="cs-CZ"/>
        </w:rPr>
        <w:t>Vranovská 1364/65, Husovice, 614 00 Brno</w:t>
      </w:r>
    </w:p>
    <w:p w:rsidR="00E831C1" w:rsidRPr="00374911" w:rsidRDefault="00E831C1" w:rsidP="00E831C1">
      <w:pPr>
        <w:jc w:val="center"/>
        <w:rPr>
          <w:bCs/>
          <w:lang w:val="cs-CZ"/>
        </w:rPr>
      </w:pPr>
      <w:r w:rsidRPr="00374911">
        <w:rPr>
          <w:lang w:val="cs-CZ"/>
        </w:rPr>
        <w:t xml:space="preserve">IČ: </w:t>
      </w:r>
      <w:r w:rsidR="00003077" w:rsidRPr="00003077">
        <w:rPr>
          <w:lang w:val="cs-CZ"/>
        </w:rPr>
        <w:t>62157264</w:t>
      </w:r>
    </w:p>
    <w:p w:rsidR="00E831C1" w:rsidRPr="00374911" w:rsidRDefault="00E831C1" w:rsidP="00E831C1">
      <w:pPr>
        <w:jc w:val="center"/>
        <w:rPr>
          <w:lang w:val="cs-CZ"/>
        </w:rPr>
      </w:pPr>
      <w:r w:rsidRPr="00374911">
        <w:rPr>
          <w:bCs/>
          <w:lang w:val="cs-CZ"/>
        </w:rPr>
        <w:t>statutární zástupce</w:t>
      </w:r>
      <w:r w:rsidRPr="00374911">
        <w:rPr>
          <w:lang w:val="cs-CZ"/>
        </w:rPr>
        <w:t xml:space="preserve">: </w:t>
      </w:r>
      <w:r w:rsidR="00003077" w:rsidRPr="00003077">
        <w:rPr>
          <w:b/>
          <w:bCs/>
          <w:lang w:val="cs-CZ"/>
        </w:rPr>
        <w:t>Ing. Vilém Koutník CSc., ředitel školy</w:t>
      </w:r>
    </w:p>
    <w:p w:rsidR="005D691F" w:rsidRDefault="00E831C1" w:rsidP="00E831C1">
      <w:pPr>
        <w:jc w:val="center"/>
        <w:rPr>
          <w:bCs/>
          <w:lang w:val="cs-CZ"/>
        </w:rPr>
      </w:pPr>
      <w:r w:rsidRPr="004A27F4">
        <w:rPr>
          <w:bCs/>
          <w:lang w:val="cs-CZ"/>
        </w:rPr>
        <w:t xml:space="preserve">(dále jen </w:t>
      </w:r>
      <w:r w:rsidRPr="004A27F4">
        <w:rPr>
          <w:bCs/>
          <w:i/>
          <w:lang w:val="cs-CZ"/>
        </w:rPr>
        <w:t>„Příkazce“</w:t>
      </w:r>
      <w:r w:rsidRPr="004A27F4">
        <w:rPr>
          <w:bCs/>
          <w:lang w:val="cs-CZ"/>
        </w:rPr>
        <w:t>)</w:t>
      </w:r>
    </w:p>
    <w:p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5D691F" w:rsidRPr="00F95433" w:rsidRDefault="005D691F" w:rsidP="005D691F">
      <w:pPr>
        <w:jc w:val="center"/>
        <w:rPr>
          <w:rFonts w:eastAsia="Batang"/>
          <w:b/>
          <w:lang w:val="cs-CZ"/>
        </w:rPr>
      </w:pPr>
      <w:r w:rsidRPr="00F95433">
        <w:rPr>
          <w:rFonts w:eastAsia="Batang"/>
          <w:b/>
        </w:rPr>
        <w:t>RPA Tender, s.r.o.</w:t>
      </w:r>
    </w:p>
    <w:p w:rsidR="005D691F" w:rsidRPr="00F95433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se sídlem: </w:t>
      </w:r>
      <w:r w:rsidRPr="00F95433">
        <w:rPr>
          <w:bCs/>
        </w:rPr>
        <w:t>Starobrněnská 690/20, Brno-město, 602 00 Brno</w:t>
      </w:r>
    </w:p>
    <w:p w:rsidR="005D691F" w:rsidRPr="00F95433" w:rsidRDefault="005D691F" w:rsidP="005D691F">
      <w:pPr>
        <w:jc w:val="center"/>
        <w:rPr>
          <w:rFonts w:eastAsia="Batang"/>
          <w:lang w:val="cs-CZ"/>
        </w:rPr>
      </w:pPr>
      <w:r w:rsidRPr="00F95433">
        <w:rPr>
          <w:rFonts w:eastAsia="Batang"/>
          <w:lang w:val="cs-CZ"/>
        </w:rPr>
        <w:t xml:space="preserve">zapsaná v Obchodním rejstříku vedeném Krajským soudem v Brně, oddíl </w:t>
      </w:r>
      <w:r w:rsidRPr="00F95433">
        <w:rPr>
          <w:lang w:val="cs-CZ"/>
        </w:rPr>
        <w:t xml:space="preserve">C, vložka </w:t>
      </w:r>
      <w:r w:rsidRPr="00F95433">
        <w:t>75877</w:t>
      </w:r>
    </w:p>
    <w:p w:rsidR="005D691F" w:rsidRPr="00F95433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IČ: </w:t>
      </w:r>
      <w:r w:rsidRPr="00F95433">
        <w:rPr>
          <w:bCs/>
        </w:rPr>
        <w:t>29367107</w:t>
      </w:r>
    </w:p>
    <w:p w:rsidR="005D691F" w:rsidRPr="00F95433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DIČ: CZ</w:t>
      </w:r>
      <w:r w:rsidRPr="00F95433">
        <w:rPr>
          <w:bCs/>
        </w:rPr>
        <w:t>29367107</w:t>
      </w:r>
    </w:p>
    <w:p w:rsidR="005D691F" w:rsidRPr="00F95433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číslo účtu: 2107961206/2700</w:t>
      </w:r>
    </w:p>
    <w:p w:rsidR="005D691F" w:rsidRPr="00F95433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statutární zástupce: Ing. Petr Kolář, jednatel</w:t>
      </w:r>
    </w:p>
    <w:p w:rsidR="005D691F" w:rsidRDefault="005D691F" w:rsidP="005D691F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(dále jen </w:t>
      </w:r>
      <w:r w:rsidRPr="00F95433">
        <w:rPr>
          <w:bCs/>
          <w:i/>
          <w:lang w:val="cs-CZ"/>
        </w:rPr>
        <w:t>„Příkazník“</w:t>
      </w:r>
      <w:r w:rsidRPr="00F95433">
        <w:rPr>
          <w:bCs/>
          <w:lang w:val="cs-CZ"/>
        </w:rPr>
        <w:t>)</w:t>
      </w:r>
    </w:p>
    <w:p w:rsidR="00E52DB2" w:rsidRDefault="00E52DB2" w:rsidP="005D691F">
      <w:pPr>
        <w:jc w:val="center"/>
        <w:rPr>
          <w:bCs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lastRenderedPageBreak/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5D691F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>Příkazník</w:t>
      </w:r>
      <w:r w:rsidR="00C76BB6" w:rsidRPr="005D691F">
        <w:rPr>
          <w:lang w:val="cs-CZ"/>
        </w:rPr>
        <w:t xml:space="preserve"> se touto sm</w:t>
      </w:r>
      <w:r w:rsidR="00156862" w:rsidRPr="005D691F">
        <w:rPr>
          <w:lang w:val="cs-CZ"/>
        </w:rPr>
        <w:t xml:space="preserve">louvou zavazuje poskytovat pro </w:t>
      </w:r>
      <w:r w:rsidRPr="005D691F">
        <w:rPr>
          <w:lang w:val="cs-CZ"/>
        </w:rPr>
        <w:t>Příkazce</w:t>
      </w:r>
      <w:r w:rsidR="00C76BB6" w:rsidRPr="005D691F">
        <w:rPr>
          <w:lang w:val="cs-CZ"/>
        </w:rPr>
        <w:t xml:space="preserve"> poradenské, analytické a konzultační služby (dále jen „Služby“) specifikova</w:t>
      </w:r>
      <w:r w:rsidR="00156862" w:rsidRPr="005D691F">
        <w:rPr>
          <w:lang w:val="cs-CZ"/>
        </w:rPr>
        <w:t>né v</w:t>
      </w:r>
      <w:r w:rsidR="00F51EC4" w:rsidRPr="005D691F">
        <w:rPr>
          <w:lang w:val="cs-CZ"/>
        </w:rPr>
        <w:t> </w:t>
      </w:r>
      <w:r w:rsidR="00824D9F" w:rsidRPr="005D691F">
        <w:rPr>
          <w:lang w:val="cs-CZ"/>
        </w:rPr>
        <w:t>č</w:t>
      </w:r>
      <w:r w:rsidR="00F51EC4" w:rsidRPr="005D691F">
        <w:rPr>
          <w:lang w:val="cs-CZ"/>
        </w:rPr>
        <w:t>ástech</w:t>
      </w:r>
      <w:r w:rsidR="004D36C8" w:rsidRPr="005D691F">
        <w:rPr>
          <w:lang w:val="cs-CZ"/>
        </w:rPr>
        <w:t>“</w:t>
      </w:r>
      <w:r w:rsidR="00F51EC4" w:rsidRPr="005D691F">
        <w:rPr>
          <w:lang w:val="cs-CZ"/>
        </w:rPr>
        <w:t xml:space="preserve">, </w:t>
      </w:r>
      <w:r w:rsidR="004D36C8" w:rsidRPr="005D691F">
        <w:rPr>
          <w:lang w:val="cs-CZ"/>
        </w:rPr>
        <w:t>„</w:t>
      </w:r>
      <w:r w:rsidR="00F51EC4" w:rsidRPr="005D691F">
        <w:rPr>
          <w:lang w:val="cs-CZ"/>
        </w:rPr>
        <w:t>Organizace výběrového řízení</w:t>
      </w:r>
      <w:r w:rsidR="004D36C8" w:rsidRPr="005D691F">
        <w:rPr>
          <w:lang w:val="cs-CZ"/>
        </w:rPr>
        <w:t>“</w:t>
      </w:r>
      <w:r w:rsidR="00F51EC4" w:rsidRPr="005D691F">
        <w:rPr>
          <w:lang w:val="cs-CZ"/>
        </w:rPr>
        <w:t xml:space="preserve"> a </w:t>
      </w:r>
      <w:r w:rsidR="004D36C8" w:rsidRPr="005D691F">
        <w:rPr>
          <w:lang w:val="cs-CZ"/>
        </w:rPr>
        <w:t>„</w:t>
      </w:r>
      <w:r w:rsidR="00F51EC4" w:rsidRPr="005D691F">
        <w:rPr>
          <w:lang w:val="cs-CZ"/>
        </w:rPr>
        <w:t>Zajištění realizačního management</w:t>
      </w:r>
      <w:r w:rsidR="00B1439E" w:rsidRPr="005D691F">
        <w:rPr>
          <w:lang w:val="cs-CZ"/>
        </w:rPr>
        <w:t>u</w:t>
      </w:r>
      <w:r w:rsidR="004D36C8" w:rsidRPr="005D691F">
        <w:rPr>
          <w:lang w:val="cs-CZ"/>
        </w:rPr>
        <w:t>“</w:t>
      </w:r>
      <w:r w:rsidR="00156862" w:rsidRPr="005D691F">
        <w:rPr>
          <w:lang w:val="cs-CZ"/>
        </w:rPr>
        <w:t xml:space="preserve"> této smlouvy </w:t>
      </w:r>
      <w:r w:rsidR="004E03E4" w:rsidRPr="005D691F">
        <w:rPr>
          <w:lang w:val="cs-CZ"/>
        </w:rPr>
        <w:t xml:space="preserve">na dobu určitou, specifikovanou v jednotlivých částech, </w:t>
      </w:r>
      <w:r w:rsidR="00156862" w:rsidRPr="005D691F">
        <w:rPr>
          <w:lang w:val="cs-CZ"/>
        </w:rPr>
        <w:t xml:space="preserve">a </w:t>
      </w:r>
      <w:r w:rsidRPr="005D691F">
        <w:rPr>
          <w:lang w:val="cs-CZ"/>
        </w:rPr>
        <w:t>Příkazce</w:t>
      </w:r>
      <w:r w:rsidR="00C76BB6" w:rsidRPr="005D691F">
        <w:rPr>
          <w:lang w:val="cs-CZ"/>
        </w:rPr>
        <w:t xml:space="preserve"> se tímto zavazuje zaplatit cenu upravenou </w:t>
      </w:r>
      <w:r w:rsidR="00F6010C" w:rsidRPr="005D691F">
        <w:rPr>
          <w:lang w:val="cs-CZ"/>
        </w:rPr>
        <w:t>v</w:t>
      </w:r>
      <w:r w:rsidR="004D36C8" w:rsidRPr="005D691F">
        <w:rPr>
          <w:lang w:val="cs-CZ"/>
        </w:rPr>
        <w:t xml:space="preserve"> jednotlivých </w:t>
      </w:r>
      <w:r w:rsidR="00F51EC4" w:rsidRPr="005D691F">
        <w:rPr>
          <w:lang w:val="cs-CZ"/>
        </w:rPr>
        <w:t xml:space="preserve">Částech </w:t>
      </w:r>
      <w:r w:rsidR="004D36C8" w:rsidRPr="005D691F">
        <w:rPr>
          <w:lang w:val="cs-CZ"/>
        </w:rPr>
        <w:t>té</w:t>
      </w:r>
      <w:r w:rsidR="00F6010C" w:rsidRPr="005D691F">
        <w:rPr>
          <w:lang w:val="cs-CZ"/>
        </w:rPr>
        <w:t>to smlouvy.</w:t>
      </w:r>
    </w:p>
    <w:p w:rsidR="00032238" w:rsidRPr="005D691F" w:rsidRDefault="00F8228B" w:rsidP="00EA0582">
      <w:pPr>
        <w:pStyle w:val="Nadpis2"/>
        <w:ind w:right="252"/>
        <w:rPr>
          <w:lang w:val="cs-CZ"/>
        </w:rPr>
      </w:pPr>
      <w:r w:rsidRPr="005D691F">
        <w:rPr>
          <w:lang w:val="cs-CZ"/>
        </w:rPr>
        <w:t>I</w:t>
      </w:r>
      <w:r w:rsidR="003F096F" w:rsidRPr="005D691F">
        <w:rPr>
          <w:lang w:val="cs-CZ"/>
        </w:rPr>
        <w:t>I</w:t>
      </w:r>
      <w:r w:rsidRPr="005D691F">
        <w:rPr>
          <w:lang w:val="cs-CZ"/>
        </w:rPr>
        <w:t>I.</w:t>
      </w:r>
      <w:r w:rsidR="00F8054B" w:rsidRPr="005D691F">
        <w:rPr>
          <w:lang w:val="cs-CZ"/>
        </w:rPr>
        <w:t xml:space="preserve"> </w:t>
      </w:r>
      <w:r w:rsidR="00C76BB6" w:rsidRPr="005D691F">
        <w:rPr>
          <w:lang w:val="cs-CZ"/>
        </w:rPr>
        <w:t>Specifikace Služeb</w:t>
      </w:r>
    </w:p>
    <w:p w:rsidR="003645FF" w:rsidRPr="005D691F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5D691F">
        <w:rPr>
          <w:bCs/>
          <w:lang w:val="cs-CZ"/>
        </w:rPr>
        <w:t xml:space="preserve">Službami se rozumí konzultační a poradenské </w:t>
      </w:r>
      <w:r w:rsidR="00705418" w:rsidRPr="005D691F">
        <w:rPr>
          <w:bCs/>
          <w:lang w:val="cs-CZ"/>
        </w:rPr>
        <w:t xml:space="preserve">služby </w:t>
      </w:r>
      <w:r w:rsidRPr="005D691F">
        <w:rPr>
          <w:bCs/>
          <w:lang w:val="cs-CZ"/>
        </w:rPr>
        <w:t xml:space="preserve">k projektu </w:t>
      </w:r>
      <w:r w:rsidR="00624616" w:rsidRPr="005D691F">
        <w:rPr>
          <w:bCs/>
          <w:lang w:val="cs-CZ"/>
        </w:rPr>
        <w:t xml:space="preserve">s pracovním názvem </w:t>
      </w:r>
      <w:r w:rsidR="009914EA" w:rsidRPr="005D691F">
        <w:rPr>
          <w:b/>
          <w:bCs/>
          <w:lang w:val="cs-CZ"/>
        </w:rPr>
        <w:t>„</w:t>
      </w:r>
      <w:r w:rsidR="00003077" w:rsidRPr="00003077">
        <w:rPr>
          <w:b/>
          <w:lang w:val="cs-CZ"/>
        </w:rPr>
        <w:t>Inkubátor mladých vědců –příprava žáků pro budoucí vědeckou dráhu aneb v mladé generaci je budoucnost společnosti</w:t>
      </w:r>
      <w:r w:rsidR="00817F15" w:rsidRPr="005D691F">
        <w:rPr>
          <w:b/>
          <w:bCs/>
          <w:lang w:val="cs-CZ"/>
        </w:rPr>
        <w:t>“</w:t>
      </w:r>
      <w:r w:rsidRPr="005D691F">
        <w:rPr>
          <w:lang w:val="cs-CZ"/>
        </w:rPr>
        <w:t xml:space="preserve">, </w:t>
      </w:r>
      <w:r w:rsidR="0012690F" w:rsidRPr="005D691F">
        <w:rPr>
          <w:lang w:val="cs-CZ"/>
        </w:rPr>
        <w:t>který b</w:t>
      </w:r>
      <w:r w:rsidR="00003077">
        <w:rPr>
          <w:lang w:val="cs-CZ"/>
        </w:rPr>
        <w:t>yl</w:t>
      </w:r>
      <w:r w:rsidR="0012690F" w:rsidRPr="005D691F">
        <w:rPr>
          <w:lang w:val="cs-CZ"/>
        </w:rPr>
        <w:t xml:space="preserve"> předložen </w:t>
      </w:r>
      <w:r w:rsidR="0012690F" w:rsidRPr="005D691F">
        <w:rPr>
          <w:bCs/>
          <w:lang w:val="cs-CZ"/>
        </w:rPr>
        <w:t xml:space="preserve">do </w:t>
      </w:r>
      <w:r w:rsidR="00F50D2E" w:rsidRPr="005D691F">
        <w:rPr>
          <w:bCs/>
          <w:lang w:val="cs-CZ"/>
        </w:rPr>
        <w:t>Integrovaného regionálního operačního programu</w:t>
      </w:r>
      <w:r w:rsidR="0012690F" w:rsidRPr="005D691F">
        <w:rPr>
          <w:bCs/>
          <w:lang w:val="cs-CZ"/>
        </w:rPr>
        <w:t xml:space="preserve"> (dále jen jako „Program“), v příslušné výzvě a </w:t>
      </w:r>
      <w:r w:rsidR="00003077">
        <w:rPr>
          <w:bCs/>
          <w:lang w:val="cs-CZ"/>
        </w:rPr>
        <w:t>předmětem této smlouvy je</w:t>
      </w:r>
      <w:r w:rsidR="0012690F" w:rsidRPr="005D691F">
        <w:rPr>
          <w:bCs/>
          <w:lang w:val="cs-CZ"/>
        </w:rPr>
        <w:t xml:space="preserve"> organizace výběrov</w:t>
      </w:r>
      <w:r w:rsidR="00003077">
        <w:rPr>
          <w:bCs/>
          <w:lang w:val="cs-CZ"/>
        </w:rPr>
        <w:t>ých</w:t>
      </w:r>
      <w:r w:rsidR="0012690F" w:rsidRPr="005D691F">
        <w:rPr>
          <w:bCs/>
          <w:lang w:val="cs-CZ"/>
        </w:rPr>
        <w:t xml:space="preserve"> řízení</w:t>
      </w:r>
      <w:r w:rsidR="0012690F" w:rsidRPr="005D691F">
        <w:rPr>
          <w:lang w:val="cs-CZ"/>
        </w:rPr>
        <w:t>.</w:t>
      </w:r>
    </w:p>
    <w:p w:rsidR="00883E42" w:rsidRPr="005D691F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5D691F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5D691F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5D691F">
        <w:rPr>
          <w:lang w:val="cs-CZ"/>
        </w:rPr>
        <w:t>Příkazce</w:t>
      </w:r>
      <w:r w:rsidRPr="005D691F">
        <w:rPr>
          <w:lang w:val="cs-CZ"/>
        </w:rPr>
        <w:t xml:space="preserve"> a případných dalších požadavků poskytovatele dotace, oznámených </w:t>
      </w:r>
      <w:r w:rsidR="004A27F4" w:rsidRPr="005D691F">
        <w:rPr>
          <w:lang w:val="cs-CZ"/>
        </w:rPr>
        <w:t>Příkazníkovi</w:t>
      </w:r>
      <w:r w:rsidRPr="005D691F">
        <w:rPr>
          <w:lang w:val="cs-CZ"/>
        </w:rPr>
        <w:t xml:space="preserve">, nebo zveřejněných v aktuální programové dokumentaci na </w:t>
      </w:r>
      <w:r w:rsidR="00F6010C" w:rsidRPr="005D691F">
        <w:rPr>
          <w:lang w:val="cs-CZ"/>
        </w:rPr>
        <w:t xml:space="preserve">webových </w:t>
      </w:r>
      <w:r w:rsidR="00817F15" w:rsidRPr="005D691F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3F096F" w:rsidRPr="00FD2872" w:rsidRDefault="003F096F" w:rsidP="00EA0582">
      <w:pPr>
        <w:pStyle w:val="Odstavecseseznamem"/>
        <w:pBdr>
          <w:bottom w:val="thickThinSmallGap" w:sz="24" w:space="2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003077" w:rsidRDefault="00003077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>
        <w:rPr>
          <w:lang w:val="cs-CZ"/>
        </w:rPr>
        <w:t>Předmětem této smlouvy je administrace 8 výběrových řízení dle této specifikace:</w:t>
      </w:r>
    </w:p>
    <w:p w:rsidR="00003077" w:rsidRDefault="00003077" w:rsidP="000030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 xml:space="preserve">Druh výběrového řízení 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Výše předpokládané hodnoty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Stavební práce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4,5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Dodávka nábytku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2,8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organické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6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fyzikální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1,5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analytické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4,5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metod analýzy potravin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1,9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b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mikrobiologie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0,6 mil bez DPH</w:t>
            </w:r>
          </w:p>
        </w:tc>
      </w:tr>
      <w:tr w:rsidR="00003077" w:rsidRPr="00003077" w:rsidTr="00003077">
        <w:trPr>
          <w:trHeight w:val="397"/>
          <w:jc w:val="center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Jazyková učebna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1,3 mil bez DPH</w:t>
            </w:r>
          </w:p>
        </w:tc>
      </w:tr>
    </w:tbl>
    <w:p w:rsidR="00003077" w:rsidRDefault="00003077" w:rsidP="000030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003077" w:rsidRDefault="00003077" w:rsidP="000030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>Organizaci jednoho výběrového řízení, které zahrnuje:</w:t>
      </w:r>
    </w:p>
    <w:p w:rsidR="00731123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6B52CC" w:rsidRPr="00FD2872">
        <w:rPr>
          <w:lang w:val="cs-CZ"/>
        </w:rPr>
        <w:t>pracování návrhu zadávací dokumentace včetně vše</w:t>
      </w:r>
      <w:r w:rsidRPr="00FD2872">
        <w:rPr>
          <w:lang w:val="cs-CZ"/>
        </w:rPr>
        <w:t>ch příloh a obchodních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p</w:t>
      </w:r>
      <w:r w:rsidR="006B52CC" w:rsidRPr="00FD2872">
        <w:rPr>
          <w:lang w:val="cs-CZ"/>
        </w:rPr>
        <w:t>řípadnou kooperaci s implementačním orgánem za účelem posouzením a schválením zadávacích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ypracování čistopisu zadávací dokumentace včetně všech příloh a obchodních podmínek dle zákonných a možných připomínek </w:t>
      </w:r>
      <w:r w:rsidR="004A27F4" w:rsidRPr="00FD2872">
        <w:rPr>
          <w:lang w:val="cs-CZ"/>
        </w:rPr>
        <w:t>Příkazce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yhlášení </w:t>
      </w:r>
      <w:r w:rsidR="003257F9" w:rsidRPr="00FD2872">
        <w:rPr>
          <w:lang w:val="cs-CZ"/>
        </w:rPr>
        <w:t>výběrového řízení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lhůty</w:t>
      </w:r>
      <w:r w:rsidR="00C820FD" w:rsidRPr="00FD2872">
        <w:rPr>
          <w:lang w:val="cs-CZ"/>
        </w:rPr>
        <w:t xml:space="preserve"> pro podávání nabídek (administrace žádosti o dodatečné informace a formální zpracování odpovědí; kompletace, administrace (reprodukce) a připravení zadávací dokumentace; a evidence a komunikace s uchazeči),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podkladů pro hodnotící komisi a komisi pro otevírání obálek,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C820FD" w:rsidRPr="00FD2872">
        <w:rPr>
          <w:lang w:val="cs-CZ"/>
        </w:rPr>
        <w:t>dministrace zasedání komisí</w:t>
      </w:r>
      <w:r w:rsidR="008B2255" w:rsidRPr="00FD2872">
        <w:rPr>
          <w:lang w:val="cs-CZ"/>
        </w:rPr>
        <w:t xml:space="preserve"> (účast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na jednání komise a její vedení v souladu </w:t>
      </w:r>
      <w:r w:rsidR="008C1DE9" w:rsidRPr="00FD2872">
        <w:rPr>
          <w:lang w:val="cs-CZ"/>
        </w:rPr>
        <w:t>s</w:t>
      </w:r>
      <w:r w:rsidR="008B2255" w:rsidRPr="00FD2872">
        <w:rPr>
          <w:lang w:val="cs-CZ"/>
        </w:rPr>
        <w:t xml:space="preserve">e zákonem, Administrací zasedání komisí není 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jako člena jakékoliv komise)</w:t>
      </w:r>
      <w:r w:rsidR="00C820FD" w:rsidRPr="00FD2872">
        <w:rPr>
          <w:lang w:val="cs-CZ"/>
        </w:rPr>
        <w:t>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výsledků komisí,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rozhodnutí o výsledcích komisí a výběru zadavatele,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oznámení o výsledcích komise,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a z</w:t>
      </w:r>
      <w:r w:rsidR="00C820FD" w:rsidRPr="00FD2872">
        <w:rPr>
          <w:lang w:val="cs-CZ"/>
        </w:rPr>
        <w:t>pracování rozhodnutí o případných námitkách,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s</w:t>
      </w:r>
      <w:r w:rsidR="00C820FD" w:rsidRPr="00FD2872">
        <w:rPr>
          <w:lang w:val="cs-CZ"/>
        </w:rPr>
        <w:t>polupráci při uzavírání</w:t>
      </w:r>
      <w:r w:rsidR="00691955" w:rsidRPr="00FD2872">
        <w:rPr>
          <w:lang w:val="cs-CZ"/>
        </w:rPr>
        <w:t xml:space="preserve"> smlouvy s vybraným dodavatelem.</w:t>
      </w:r>
    </w:p>
    <w:p w:rsidR="007917EB" w:rsidRPr="00FD2872" w:rsidRDefault="007917EB" w:rsidP="00EA0582">
      <w:pPr>
        <w:pStyle w:val="Odstavecseseznamem"/>
        <w:spacing w:after="360"/>
        <w:ind w:left="1077" w:right="252"/>
        <w:jc w:val="both"/>
        <w:rPr>
          <w:lang w:val="cs-CZ"/>
        </w:rPr>
      </w:pPr>
    </w:p>
    <w:p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 xml:space="preserve">Předmět plnění v rámci této části Smlouvy nezahrnuje specifikaci rozsahu a hloubky poptávaného plnění dodávek či služeb, či projektové dokumentace a výkazu výměr jako součásti zadávací dokumentace, za jejíž správnost a vhodnost analogicky v rozsahu vyhlášky č. 169/2016 Sb. a paragrafu 89 odst. 5 a 6 zákona č.134/2016 Sb., o zadávání veřejných zakázek, nese odpovědnost sám Příkazce, případně jeho </w:t>
      </w:r>
      <w:r w:rsidRPr="00F80452">
        <w:rPr>
          <w:lang w:val="cs-CZ"/>
        </w:rPr>
        <w:lastRenderedPageBreak/>
        <w:t>dodavatel. Plnění v rámci této části smlouvy rovněž nezahrnuje kontrolu splnění specifikovaného rozsahu a hloubky v nabídkách uchazečů.</w:t>
      </w:r>
    </w:p>
    <w:p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>Předmět plnění v rámci provádění jednotlivých výběrových řízení nezahrnuje odpovědnost za splnění povinnosti příkazce podle § 219 zákona č.134/2016 Sb., o zadávání veřejných zakázek. Příkazník na tyto povinnosti příkazce upozorňuje.</w:t>
      </w:r>
    </w:p>
    <w:p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:rsidR="00705418" w:rsidRPr="00FD2872" w:rsidRDefault="00705418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F51EC4" w:rsidRPr="00FD2872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zavazuje zaplatit </w:t>
      </w:r>
      <w:r w:rsidRPr="00FD2872">
        <w:rPr>
          <w:lang w:val="cs-CZ"/>
        </w:rPr>
        <w:t>Příkazníkovi</w:t>
      </w:r>
      <w:r w:rsidR="00946E0D" w:rsidRPr="00FD2872">
        <w:rPr>
          <w:lang w:val="cs-CZ"/>
        </w:rPr>
        <w:t xml:space="preserve"> odměnu za činnosti uvedené v článku I. této části ve </w:t>
      </w:r>
      <w:r w:rsidR="00946E0D" w:rsidRPr="005D691F">
        <w:rPr>
          <w:lang w:val="cs-CZ"/>
        </w:rPr>
        <w:t xml:space="preserve">výši </w:t>
      </w:r>
      <w:r w:rsidR="00003077">
        <w:rPr>
          <w:b/>
          <w:lang w:val="cs-CZ"/>
        </w:rPr>
        <w:t>197</w:t>
      </w:r>
      <w:r w:rsidR="00946E0D" w:rsidRPr="005D691F">
        <w:rPr>
          <w:b/>
          <w:lang w:val="cs-CZ"/>
        </w:rPr>
        <w:t>.</w:t>
      </w:r>
      <w:r w:rsidR="00003077">
        <w:rPr>
          <w:b/>
          <w:lang w:val="cs-CZ"/>
        </w:rPr>
        <w:t>000</w:t>
      </w:r>
      <w:r w:rsidR="00946E0D" w:rsidRPr="00FD2872">
        <w:rPr>
          <w:lang w:val="cs-CZ"/>
        </w:rPr>
        <w:t xml:space="preserve"> Kč + DPH. </w:t>
      </w:r>
      <w:r w:rsidR="007C6778" w:rsidRPr="00FD2872">
        <w:rPr>
          <w:lang w:val="cs-CZ"/>
        </w:rPr>
        <w:t>Odměna</w:t>
      </w:r>
      <w:r w:rsidR="00946E0D" w:rsidRPr="00FD2872">
        <w:rPr>
          <w:lang w:val="cs-CZ"/>
        </w:rPr>
        <w:t xml:space="preserve"> bude hrazena </w:t>
      </w:r>
      <w:r w:rsidR="00003077">
        <w:rPr>
          <w:lang w:val="cs-CZ"/>
        </w:rPr>
        <w:t xml:space="preserve">po dílčích částech </w:t>
      </w:r>
      <w:r w:rsidR="00946E0D" w:rsidRPr="00FD2872">
        <w:rPr>
          <w:lang w:val="cs-CZ"/>
        </w:rPr>
        <w:t xml:space="preserve">po ukončení </w:t>
      </w:r>
      <w:r w:rsidR="00003077">
        <w:rPr>
          <w:lang w:val="cs-CZ"/>
        </w:rPr>
        <w:t xml:space="preserve">každého jednoho </w:t>
      </w:r>
      <w:r w:rsidR="00946E0D" w:rsidRPr="00FD2872">
        <w:rPr>
          <w:lang w:val="cs-CZ"/>
        </w:rPr>
        <w:t>výběr</w:t>
      </w:r>
      <w:r w:rsidR="006A338A" w:rsidRPr="00FD2872">
        <w:rPr>
          <w:lang w:val="cs-CZ"/>
        </w:rPr>
        <w:t>u dodavatele</w:t>
      </w:r>
      <w:r w:rsidR="00946E0D" w:rsidRPr="00FD2872">
        <w:rPr>
          <w:lang w:val="cs-CZ"/>
        </w:rPr>
        <w:t>. Ukončením výběr</w:t>
      </w:r>
      <w:r w:rsidR="006A338A" w:rsidRPr="00FD2872">
        <w:rPr>
          <w:lang w:val="cs-CZ"/>
        </w:rPr>
        <w:t>u dodavatele</w:t>
      </w:r>
      <w:r w:rsidR="00946E0D" w:rsidRPr="00FD2872">
        <w:rPr>
          <w:lang w:val="cs-CZ"/>
        </w:rPr>
        <w:t xml:space="preserve"> je myšlen den </w:t>
      </w:r>
      <w:r w:rsidR="006A338A" w:rsidRPr="00FD2872">
        <w:rPr>
          <w:lang w:val="cs-CZ"/>
        </w:rPr>
        <w:t xml:space="preserve">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 xml:space="preserve">o výběru dodavatele nebo den 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 xml:space="preserve">o zrušení </w:t>
      </w:r>
      <w:r w:rsidR="00003077">
        <w:rPr>
          <w:lang w:val="cs-CZ"/>
        </w:rPr>
        <w:t xml:space="preserve">každého jednoho </w:t>
      </w:r>
      <w:r w:rsidR="006A338A" w:rsidRPr="00FD2872">
        <w:rPr>
          <w:lang w:val="cs-CZ"/>
        </w:rPr>
        <w:t>výběrového řízení</w:t>
      </w:r>
      <w:r w:rsidR="00946E0D" w:rsidRPr="00FD2872">
        <w:rPr>
          <w:lang w:val="cs-CZ"/>
        </w:rPr>
        <w:t xml:space="preserve">. Smluvní strany se dohodly, že k datu ukončení </w:t>
      </w:r>
      <w:r w:rsidR="006A338A" w:rsidRPr="00FD2872">
        <w:rPr>
          <w:lang w:val="cs-CZ"/>
        </w:rPr>
        <w:t>výběru dodavatele</w:t>
      </w:r>
      <w:r w:rsidR="00946E0D" w:rsidRPr="00FD2872">
        <w:rPr>
          <w:lang w:val="cs-CZ"/>
        </w:rPr>
        <w:t xml:space="preserve"> dochází k uskutečnění dílčího zdanitelného plnění a </w:t>
      </w:r>
      <w:r w:rsidRPr="00FD2872">
        <w:rPr>
          <w:lang w:val="cs-CZ"/>
        </w:rPr>
        <w:t>Příkazníkem</w:t>
      </w:r>
      <w:r w:rsidR="00946E0D" w:rsidRPr="00FD2872">
        <w:rPr>
          <w:lang w:val="cs-CZ"/>
        </w:rPr>
        <w:t xml:space="preserve"> bude vystavena </w:t>
      </w:r>
      <w:r w:rsidR="00003077">
        <w:rPr>
          <w:lang w:val="cs-CZ"/>
        </w:rPr>
        <w:t xml:space="preserve">dílčí </w:t>
      </w:r>
      <w:r w:rsidR="00946E0D" w:rsidRPr="00FD2872">
        <w:rPr>
          <w:lang w:val="cs-CZ"/>
        </w:rPr>
        <w:t>faktura – daňový doklad.</w:t>
      </w:r>
    </w:p>
    <w:p w:rsidR="009813B1" w:rsidRPr="00FD2872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:rsidR="00003077" w:rsidRDefault="0000307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Rozklíčování cen dle jednotlivých výběrových řízení:</w:t>
      </w:r>
    </w:p>
    <w:p w:rsidR="00003077" w:rsidRPr="00003077" w:rsidRDefault="00003077" w:rsidP="00003077">
      <w:pPr>
        <w:pStyle w:val="Odstavecseseznamem"/>
        <w:rPr>
          <w:lang w:val="cs-CZ"/>
        </w:rPr>
      </w:pPr>
    </w:p>
    <w:tbl>
      <w:tblPr>
        <w:tblStyle w:val="Mkatabulky"/>
        <w:tblW w:w="9212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 xml:space="preserve">Druh výběrového řízení 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Výše předpokládané hodnoty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Cena bez DPH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Stavební práce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4,5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35.000,-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Dodávka nábytku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2,8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42.000,-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organické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6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fyzikální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1,5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analytické chemie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4,5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metod analýzy potravin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1,9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b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Učebna mikrobiologie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0,6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3070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Jazyková učebna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1,3 mil bez DPH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20.000,- Kč</w:t>
            </w:r>
          </w:p>
        </w:tc>
      </w:tr>
      <w:tr w:rsidR="00003077" w:rsidRPr="00003077" w:rsidTr="00003077">
        <w:trPr>
          <w:trHeight w:val="397"/>
        </w:trPr>
        <w:tc>
          <w:tcPr>
            <w:tcW w:w="6141" w:type="dxa"/>
            <w:gridSpan w:val="2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Celková nabídková cena za administraci všech 8 výběrových řízení</w:t>
            </w:r>
          </w:p>
        </w:tc>
        <w:tc>
          <w:tcPr>
            <w:tcW w:w="3071" w:type="dxa"/>
            <w:vAlign w:val="center"/>
          </w:tcPr>
          <w:p w:rsidR="00003077" w:rsidRPr="00003077" w:rsidRDefault="00003077" w:rsidP="00003077">
            <w:pPr>
              <w:spacing w:after="0"/>
              <w:rPr>
                <w:rFonts w:ascii="Times New Roman" w:hAnsi="Times New Roman"/>
                <w:lang w:val="cs-CZ"/>
              </w:rPr>
            </w:pPr>
            <w:r w:rsidRPr="00003077">
              <w:rPr>
                <w:rFonts w:ascii="Times New Roman" w:hAnsi="Times New Roman"/>
                <w:lang w:val="cs-CZ"/>
              </w:rPr>
              <w:t>197.000,- Kč</w:t>
            </w:r>
          </w:p>
        </w:tc>
      </w:tr>
    </w:tbl>
    <w:p w:rsidR="00003077" w:rsidRDefault="00003077" w:rsidP="00003077">
      <w:pPr>
        <w:pStyle w:val="Odstavecseseznamem"/>
        <w:ind w:left="900" w:right="252"/>
        <w:jc w:val="center"/>
        <w:rPr>
          <w:lang w:val="cs-CZ"/>
        </w:rPr>
      </w:pPr>
    </w:p>
    <w:p w:rsidR="00003077" w:rsidRPr="00003077" w:rsidRDefault="00003077" w:rsidP="00003077">
      <w:pPr>
        <w:pStyle w:val="Odstavecseseznamem"/>
        <w:rPr>
          <w:lang w:val="cs-CZ"/>
        </w:rPr>
      </w:pPr>
    </w:p>
    <w:p w:rsidR="00A95307" w:rsidRPr="00FD2872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zrušení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odsouhlasil. V případě zrušení výběrového řízení před ukončení lhůty pro podávání </w:t>
      </w:r>
      <w:r w:rsidRPr="00FD2872">
        <w:rPr>
          <w:lang w:val="cs-CZ"/>
        </w:rPr>
        <w:lastRenderedPageBreak/>
        <w:t xml:space="preserve">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80% odměny dle odstavce 1. tohoto článku a veškeré dosud vynaložené náklady spojené se zastoupením.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 a veškeré dosud vynaložené náklady spojené se zastoupením.</w:t>
      </w:r>
    </w:p>
    <w:p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 činností uvedená v bodech i. - xii.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Pr="00FD2872">
        <w:rPr>
          <w:lang w:val="cs-CZ"/>
        </w:rPr>
        <w:t>.000,- Kč za porušení každého jednotlivého bodu.</w:t>
      </w:r>
    </w:p>
    <w:p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107CF" w:rsidRDefault="009107CF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Default="00003077" w:rsidP="009107CF">
      <w:pPr>
        <w:pStyle w:val="Odstavecseseznamem"/>
        <w:rPr>
          <w:b/>
          <w:color w:val="622423"/>
          <w:sz w:val="32"/>
          <w:szCs w:val="32"/>
          <w:lang w:val="cs-CZ"/>
        </w:rPr>
      </w:pPr>
    </w:p>
    <w:p w:rsidR="00003077" w:rsidRPr="009107CF" w:rsidRDefault="00003077" w:rsidP="009107CF">
      <w:pPr>
        <w:pStyle w:val="Odstavecseseznamem"/>
        <w:rPr>
          <w:lang w:val="cs-CZ"/>
        </w:rPr>
      </w:pPr>
    </w:p>
    <w:p w:rsidR="009107CF" w:rsidRPr="00FD2872" w:rsidRDefault="009107CF" w:rsidP="009107CF">
      <w:pPr>
        <w:pStyle w:val="Odstavecseseznamem"/>
        <w:ind w:left="896" w:right="252"/>
        <w:jc w:val="both"/>
        <w:rPr>
          <w:lang w:val="cs-CZ"/>
        </w:rPr>
      </w:pP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</w:t>
      </w:r>
      <w:r w:rsidR="00175F9B" w:rsidRPr="00FD2872">
        <w:rPr>
          <w:szCs w:val="22"/>
          <w:lang w:val="cs-CZ"/>
        </w:rPr>
        <w:lastRenderedPageBreak/>
        <w:t xml:space="preserve">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175F9B" w:rsidRPr="00FD287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FD2872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AA1697" w:rsidRPr="00FD2872">
        <w:rPr>
          <w:b/>
          <w:bCs/>
          <w:lang w:val="cs-CZ"/>
        </w:rPr>
        <w:t>„</w:t>
      </w:r>
      <w:r w:rsidR="00003077" w:rsidRPr="00003077">
        <w:rPr>
          <w:b/>
          <w:lang w:val="cs-CZ"/>
        </w:rPr>
        <w:t>Inkubátor mladých vědců –příprava žáků pro budoucí vědeckou dráhu aneb v mladé generaci je budoucnost společnosti</w:t>
      </w:r>
      <w:r w:rsidR="00343317" w:rsidRPr="00FD2872">
        <w:rPr>
          <w:b/>
          <w:bCs/>
          <w:lang w:val="cs-CZ"/>
        </w:rPr>
        <w:t>“</w:t>
      </w:r>
      <w:r w:rsidR="00343317" w:rsidRPr="00FD2872">
        <w:rPr>
          <w:b/>
          <w:lang w:val="cs-CZ"/>
        </w:rPr>
        <w:t xml:space="preserve"> 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Příkazce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50683E" w:rsidRPr="00FD2872">
        <w:rPr>
          <w:lang w:val="cs-CZ"/>
        </w:rPr>
        <w:t xml:space="preserve"> 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="00032238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107A8" w:rsidRPr="00FD2872" w:rsidRDefault="00623F8F" w:rsidP="00B221AC">
      <w:pPr>
        <w:tabs>
          <w:tab w:val="left" w:pos="5400"/>
        </w:tabs>
        <w:spacing w:after="0" w:line="240" w:lineRule="auto"/>
        <w:ind w:right="252"/>
        <w:jc w:val="both"/>
        <w:rPr>
          <w:b/>
          <w:bCs/>
          <w:lang w:val="cs-CZ"/>
        </w:rPr>
      </w:pPr>
      <w:r w:rsidRPr="00FD2872">
        <w:rPr>
          <w:rFonts w:eastAsia="Batang"/>
          <w:lang w:val="cs-CZ"/>
        </w:rPr>
        <w:t>V </w:t>
      </w:r>
      <w:r w:rsidR="00003077">
        <w:rPr>
          <w:rFonts w:eastAsia="Batang"/>
          <w:lang w:val="cs-CZ"/>
        </w:rPr>
        <w:t>Brně</w:t>
      </w:r>
      <w:r w:rsidRPr="00FD2872">
        <w:rPr>
          <w:rFonts w:eastAsia="Batang"/>
          <w:lang w:val="cs-CZ"/>
        </w:rPr>
        <w:t xml:space="preserve"> dne </w:t>
      </w:r>
      <w:r w:rsidR="00B221AC">
        <w:rPr>
          <w:rFonts w:eastAsia="Batang"/>
          <w:lang w:val="cs-CZ"/>
        </w:rPr>
        <w:t xml:space="preserve">28. 8. 2017                                                                  </w:t>
      </w:r>
      <w:r w:rsidR="00B221AC" w:rsidRPr="00FD2872">
        <w:rPr>
          <w:rFonts w:eastAsia="Batang"/>
          <w:lang w:val="cs-CZ"/>
        </w:rPr>
        <w:t>V </w:t>
      </w:r>
      <w:r w:rsidR="00B221AC">
        <w:rPr>
          <w:rFonts w:eastAsia="Batang"/>
          <w:lang w:val="cs-CZ"/>
        </w:rPr>
        <w:t>Brně</w:t>
      </w:r>
      <w:r w:rsidR="00B221AC" w:rsidRPr="00FD2872">
        <w:rPr>
          <w:rFonts w:eastAsia="Batang"/>
          <w:lang w:val="cs-CZ"/>
        </w:rPr>
        <w:t xml:space="preserve"> dne </w:t>
      </w:r>
      <w:r w:rsidR="00B221AC">
        <w:rPr>
          <w:rFonts w:eastAsia="Batang"/>
          <w:lang w:val="cs-CZ"/>
        </w:rPr>
        <w:t>28. 8. 2017</w:t>
      </w:r>
      <w:bookmarkStart w:id="0" w:name="_GoBack"/>
      <w:bookmarkEnd w:id="0"/>
      <w:r w:rsidR="00B221AC">
        <w:rPr>
          <w:rFonts w:eastAsia="Batang"/>
          <w:lang w:val="cs-CZ"/>
        </w:rPr>
        <w:t xml:space="preserve"> </w:t>
      </w:r>
    </w:p>
    <w:p w:rsidR="00C42846" w:rsidRPr="00FD2872" w:rsidRDefault="00B221AC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                                         </w:t>
      </w:r>
    </w:p>
    <w:p w:rsidR="00124A4A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003077" w:rsidRPr="00FD2872" w:rsidRDefault="00003077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FD2872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:rsidR="00C64DBB" w:rsidRPr="00FD2872" w:rsidRDefault="00992026" w:rsidP="00EA0582">
      <w:pPr>
        <w:tabs>
          <w:tab w:val="left" w:pos="5040"/>
        </w:tabs>
        <w:spacing w:after="0"/>
        <w:ind w:right="252"/>
        <w:rPr>
          <w:b/>
          <w:lang w:val="cs-CZ"/>
        </w:rPr>
      </w:pPr>
      <w:r w:rsidRPr="00FD2872">
        <w:rPr>
          <w:b/>
          <w:lang w:val="cs-CZ"/>
        </w:rPr>
        <w:t xml:space="preserve"> </w:t>
      </w:r>
      <w:r w:rsidR="00003077" w:rsidRPr="00003077">
        <w:rPr>
          <w:b/>
          <w:bCs/>
          <w:lang w:val="cs-CZ"/>
        </w:rPr>
        <w:t>Střední průmyslová škola chemická Brno,</w:t>
      </w:r>
      <w:r w:rsidRPr="00FD2872">
        <w:rPr>
          <w:b/>
          <w:lang w:val="cs-CZ"/>
        </w:rPr>
        <w:tab/>
      </w:r>
      <w:r w:rsidR="00BE5ED8" w:rsidRPr="00FD2872">
        <w:rPr>
          <w:b/>
          <w:lang w:val="cs-CZ"/>
        </w:rPr>
        <w:tab/>
      </w:r>
      <w:r w:rsidR="00BE5ED8" w:rsidRPr="00FD2872">
        <w:rPr>
          <w:b/>
          <w:lang w:val="cs-CZ"/>
        </w:rPr>
        <w:tab/>
      </w:r>
      <w:r w:rsidR="005D691F">
        <w:rPr>
          <w:b/>
          <w:lang w:val="cs-CZ"/>
        </w:rPr>
        <w:t>RPA Tender, s.r.o</w:t>
      </w:r>
    </w:p>
    <w:p w:rsidR="00003077" w:rsidRDefault="00003077" w:rsidP="00EA0582">
      <w:pPr>
        <w:tabs>
          <w:tab w:val="left" w:pos="5940"/>
        </w:tabs>
        <w:spacing w:after="0"/>
        <w:ind w:right="252"/>
        <w:rPr>
          <w:b/>
          <w:lang w:val="cs-CZ"/>
        </w:rPr>
      </w:pPr>
      <w:r w:rsidRPr="00003077">
        <w:rPr>
          <w:b/>
          <w:bCs/>
          <w:lang w:val="cs-CZ"/>
        </w:rPr>
        <w:t>Vranovská, příspěvková organizace</w:t>
      </w:r>
      <w:r w:rsidR="00992026" w:rsidRPr="00FD2872">
        <w:rPr>
          <w:b/>
          <w:lang w:val="cs-CZ"/>
        </w:rPr>
        <w:t xml:space="preserve"> </w:t>
      </w:r>
    </w:p>
    <w:p w:rsidR="00AF1DD7" w:rsidRPr="00FD2872" w:rsidRDefault="00003077" w:rsidP="00003077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 w:rsidRPr="00003077">
        <w:rPr>
          <w:b/>
          <w:bCs/>
          <w:lang w:val="cs-CZ"/>
        </w:rPr>
        <w:t>Ing. Vilém Koutník CSc., ředitel školy</w:t>
      </w:r>
      <w:r w:rsidR="00992026" w:rsidRPr="00FD2872">
        <w:rPr>
          <w:b/>
          <w:lang w:val="cs-CZ"/>
        </w:rPr>
        <w:tab/>
      </w:r>
      <w:r w:rsidR="00BE5ED8" w:rsidRPr="00FD2872">
        <w:rPr>
          <w:b/>
          <w:lang w:val="cs-CZ"/>
        </w:rPr>
        <w:t xml:space="preserve">Ing. </w:t>
      </w:r>
      <w:r w:rsidR="005D691F">
        <w:rPr>
          <w:rFonts w:eastAsia="Batang"/>
          <w:b/>
          <w:lang w:val="cs-CZ"/>
        </w:rPr>
        <w:t>Petr Kolář</w:t>
      </w:r>
      <w:r w:rsidR="00C64DBB" w:rsidRPr="00FD2872">
        <w:rPr>
          <w:rFonts w:eastAsia="Batang"/>
          <w:b/>
          <w:lang w:val="cs-CZ"/>
        </w:rPr>
        <w:t>, jednatel</w:t>
      </w:r>
      <w:r w:rsidR="00D82E10" w:rsidRPr="00FD2872">
        <w:rPr>
          <w:rFonts w:eastAsia="Batang"/>
          <w:b/>
          <w:lang w:val="cs-CZ"/>
        </w:rPr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84" w:rsidRDefault="001F3A84">
      <w:r>
        <w:separator/>
      </w:r>
    </w:p>
  </w:endnote>
  <w:endnote w:type="continuationSeparator" w:id="0">
    <w:p w:rsidR="001F3A84" w:rsidRDefault="001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E22C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8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0819" w:rsidRDefault="00B308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E22C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8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1AC">
      <w:rPr>
        <w:rStyle w:val="slostrnky"/>
        <w:noProof/>
      </w:rPr>
      <w:t>10</w:t>
    </w:r>
    <w:r>
      <w:rPr>
        <w:rStyle w:val="slostrnky"/>
      </w:rPr>
      <w:fldChar w:fldCharType="end"/>
    </w:r>
  </w:p>
  <w:p w:rsidR="00B30819" w:rsidRDefault="00B308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84" w:rsidRDefault="001F3A84">
      <w:r>
        <w:separator/>
      </w:r>
    </w:p>
  </w:footnote>
  <w:footnote w:type="continuationSeparator" w:id="0">
    <w:p w:rsidR="001F3A84" w:rsidRDefault="001F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5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6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3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4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32"/>
  </w:num>
  <w:num w:numId="3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6"/>
    <w:rsid w:val="00003077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0E08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2999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3A84"/>
    <w:rsid w:val="001F4CF1"/>
    <w:rsid w:val="001F61F3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946E6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691F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1E88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CF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15BDF"/>
    <w:rsid w:val="00B221AC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405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30A6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2C2D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2DB2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31C1"/>
    <w:rsid w:val="00E83C18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2ABA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EE728-F7FC-4632-B63D-9319EC3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qFormat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table" w:styleId="Mkatabulky">
    <w:name w:val="Table Grid"/>
    <w:basedOn w:val="Normlntabulka"/>
    <w:uiPriority w:val="59"/>
    <w:rsid w:val="0000307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1F77A-BCC2-4183-B847-4C8C2CE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11</TotalTime>
  <Pages>10</Pages>
  <Words>2821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Zdeňka Kučerová</cp:lastModifiedBy>
  <cp:revision>5</cp:revision>
  <cp:lastPrinted>2017-05-16T10:21:00Z</cp:lastPrinted>
  <dcterms:created xsi:type="dcterms:W3CDTF">2017-07-26T05:48:00Z</dcterms:created>
  <dcterms:modified xsi:type="dcterms:W3CDTF">2017-08-24T08:48:00Z</dcterms:modified>
</cp:coreProperties>
</file>