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EA12F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FC4" w:rsidRDefault="006C75DC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S/04733/MS/25</w:t>
      </w:r>
    </w:p>
    <w:p w:rsidR="00945FC4" w:rsidRDefault="006C75DC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04733/MS/25</w:t>
      </w:r>
    </w:p>
    <w:p w:rsidR="00945FC4" w:rsidRDefault="006C75DC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0029/82/25</w:t>
      </w:r>
    </w:p>
    <w:p w:rsidR="00945FC4" w:rsidRDefault="006C75DC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EA12F1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Petra Kutílková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EA12F1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Petra Kutílková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6249C" w:rsidRDefault="00E6249C" w:rsidP="00E6249C">
      <w:pPr>
        <w:spacing w:before="40" w:after="0"/>
      </w:pPr>
    </w:p>
    <w:p w:rsidR="00E6249C" w:rsidRDefault="00EA12F1" w:rsidP="00E6249C">
      <w:pPr>
        <w:spacing w:before="40" w:after="0"/>
      </w:pPr>
      <w:r>
        <w:rPr>
          <w:rFonts w:ascii="Arial" w:hAnsi="Arial" w:cs="Arial"/>
          <w:b/>
        </w:rPr>
        <w:t>Jana Kocurková</w:t>
      </w:r>
      <w:r w:rsidR="009E24FE">
        <w:rPr>
          <w:rFonts w:ascii="Arial" w:hAnsi="Arial" w:cs="Arial"/>
        </w:rPr>
        <w:br/>
        <w:t>IČ</w:t>
      </w:r>
      <w:r w:rsidR="002F517E">
        <w:rPr>
          <w:rFonts w:ascii="Arial" w:hAnsi="Arial" w:cs="Arial"/>
        </w:rPr>
        <w:t>O</w:t>
      </w:r>
      <w:r w:rsidR="009E24FE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66183952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 xml:space="preserve">Adresa sídla: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č. p. 124, 75602  Huslenky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>Bankovní účet</w:t>
      </w:r>
      <w:r w:rsidR="009E24FE" w:rsidRPr="00A42D75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9E24FE">
        <w:rPr>
          <w:rFonts w:ascii="Arial" w:hAnsi="Arial" w:cs="Arial"/>
        </w:rPr>
        <w:br/>
      </w:r>
      <w:r w:rsidR="009E24FE" w:rsidRPr="00A42D75">
        <w:rPr>
          <w:rFonts w:ascii="Arial" w:hAnsi="Arial" w:cs="Arial"/>
        </w:rPr>
        <w:t>Email: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9E24FE">
        <w:rPr>
          <w:rFonts w:ascii="Arial" w:hAnsi="Arial" w:cs="Arial"/>
        </w:rPr>
        <w:t xml:space="preserve"> </w:t>
      </w:r>
      <w:r w:rsidR="009E24FE">
        <w:rPr>
          <w:rFonts w:ascii="Arial" w:hAnsi="Arial" w:cs="Arial"/>
        </w:rPr>
        <w:br/>
        <w:t>Telefon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9E24FE">
        <w:rPr>
          <w:rFonts w:ascii="Arial" w:hAnsi="Arial" w:cs="Arial"/>
        </w:rPr>
        <w:br/>
        <w:t>Datová schránka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n3z3nve</w:t>
      </w:r>
    </w:p>
    <w:p w:rsidR="00E83E5F" w:rsidRPr="009008C5" w:rsidRDefault="00E83E5F" w:rsidP="00E6249C">
      <w:pPr>
        <w:spacing w:before="40" w:after="0"/>
      </w:pP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6C75DC">
        <w:rPr>
          <w:rFonts w:ascii="Arial" w:hAnsi="Arial" w:cs="Arial"/>
        </w:rPr>
        <w:t>jakožto</w:t>
      </w:r>
      <w:r w:rsidR="00C962A5" w:rsidRPr="006C75DC">
        <w:t xml:space="preserve"> </w:t>
      </w:r>
      <w:r w:rsidR="006C75DC" w:rsidRPr="006C75DC">
        <w:rPr>
          <w:rFonts w:ascii="Arial" w:hAnsi="Arial" w:cs="Arial"/>
        </w:rPr>
        <w:t>pachtýř</w:t>
      </w:r>
      <w:r w:rsidR="00C962A5" w:rsidRPr="006C75DC">
        <w:rPr>
          <w:rFonts w:ascii="Arial" w:hAnsi="Arial" w:cs="Arial"/>
        </w:rPr>
        <w:t xml:space="preserve"> </w:t>
      </w:r>
      <w:r w:rsidRPr="006C75DC">
        <w:rPr>
          <w:rFonts w:ascii="Arial" w:hAnsi="Arial" w:cs="Arial"/>
        </w:rPr>
        <w:t xml:space="preserve">pozemků </w:t>
      </w:r>
      <w:r w:rsidR="006C75DC" w:rsidRPr="006C75DC">
        <w:rPr>
          <w:rFonts w:ascii="Arial" w:hAnsi="Arial" w:cs="Arial"/>
        </w:rPr>
        <w:t xml:space="preserve">- parcel </w:t>
      </w:r>
      <w:r w:rsidRPr="006C75DC">
        <w:rPr>
          <w:rFonts w:ascii="Arial" w:hAnsi="Arial" w:cs="Arial"/>
        </w:rPr>
        <w:t>v k.ú. Malé Karlovice - p.č. 683/3, 692/1, 696, 697, 701, 721/1, 721/4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82; CHKO; Beskydy   / 2303; PO; Horní Vsacko  3313; EVL;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2000, aktivita C4 - Management lokalit soustavy Natura 2000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EA12F1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Dohoda_pastva_Tisňavy-Biechava</w:t>
      </w:r>
    </w:p>
    <w:p w:rsidR="00653A3C" w:rsidRPr="00653A3C" w:rsidRDefault="00653A3C" w:rsidP="000F24F6">
      <w:pPr>
        <w:pStyle w:val="Odstavecseseznamem"/>
        <w:spacing w:before="120" w:after="120"/>
        <w:ind w:left="357"/>
        <w:rPr>
          <w:rFonts w:ascii="Arial" w:hAnsi="Arial" w:cs="Arial"/>
          <w:b/>
          <w:sz w:val="22"/>
          <w:szCs w:val="22"/>
        </w:rPr>
      </w:pP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Malé Karlovice - p.č. 683/3, 692/1, 696, 697, 701, 721/1, 721/4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31.08.2025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EA12F1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Opatření bude provedeno v souladu se standardy č. E02 006 "Ochrana hospodářských zvířat před útoky velkých šelem", D02 007 "Likvidace vybraných invazních druhů rostlin (vč. následné péče o lokality)", D02 003 "Pastva".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58 300,00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 xml:space="preserve">včas plně v souladu s podmínkami stanovenými touto Dohodou, je oprávněna kontrolní protokol podepsat pouze AOPK ČR. V případě kontroly s výhradami, jejímž závěrem bude zjištění neprovedení managementových opatření nebo provedení managementových </w:t>
      </w:r>
      <w:r w:rsidRPr="00A42D75">
        <w:lastRenderedPageBreak/>
        <w:t>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58 300,00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53457F" w:rsidRDefault="0053457F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9F2098" w:rsidRPr="0053457F" w:rsidRDefault="009F2098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673B29">
      <w:pPr>
        <w:pStyle w:val="Nadpis2"/>
      </w:pPr>
      <w:r w:rsidRPr="00996436">
        <w:t xml:space="preserve">Pokud v době platnosti této Dohody zanikne </w:t>
      </w:r>
      <w:r w:rsidR="00673B29" w:rsidRPr="00673B29">
        <w:t xml:space="preserve">hospodařícímu </w:t>
      </w:r>
      <w:r w:rsidR="00673B29" w:rsidRPr="006C75DC">
        <w:t xml:space="preserve">subjektu </w:t>
      </w:r>
      <w:r w:rsidR="006C75DC" w:rsidRPr="006C75DC">
        <w:t>p</w:t>
      </w:r>
      <w:r w:rsidRPr="006C75DC">
        <w:t xml:space="preserve">achtovní právo </w:t>
      </w:r>
      <w:r w:rsidR="008A7634" w:rsidRPr="006C75DC">
        <w:t xml:space="preserve">nebo právo k hospodaření </w:t>
      </w:r>
      <w:r w:rsidRPr="006C75DC">
        <w:t>k dotčeným pozemkům, finanční příspěvek se přiměřeně</w:t>
      </w:r>
      <w:r w:rsidRPr="00996436">
        <w:t xml:space="preserve"> zkrátí. O skutečnosti </w:t>
      </w:r>
      <w:r w:rsidR="00673B29" w:rsidRPr="00673B29">
        <w:t xml:space="preserve">zániku práva dle </w:t>
      </w:r>
      <w:r w:rsidR="00673B29">
        <w:t>přechozí věty</w:t>
      </w:r>
      <w:r w:rsidRPr="00996436">
        <w:t xml:space="preserve">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>
        <w:rPr>
          <w:rFonts w:eastAsia="Arial Unicode MS"/>
        </w:rPr>
        <w:t>Dále musí být uvedeno "Opatření byla provedena v rámci Integrovaného projektu LIFE - Jedna příroda (LIFE17 IPE/CZ/000005 LIFE-IP: N2K Revisited).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</w:t>
      </w:r>
      <w:r w:rsidRPr="00A42D75">
        <w:lastRenderedPageBreak/>
        <w:t>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31.08.2025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6C75DC" w:rsidRDefault="00673B29" w:rsidP="00B9212C">
      <w:pPr>
        <w:pStyle w:val="Nadpis2"/>
        <w:numPr>
          <w:ilvl w:val="1"/>
          <w:numId w:val="0"/>
        </w:numPr>
        <w:ind w:left="397"/>
      </w:pPr>
      <w:r w:rsidRPr="006C75DC">
        <w:t>P</w:t>
      </w:r>
      <w:r w:rsidR="00A42D75" w:rsidRPr="006C75DC">
        <w:t>říloha č.1 - Rozpočet a specifikace.</w:t>
      </w:r>
    </w:p>
    <w:p w:rsidR="00A42D75" w:rsidRPr="006C75DC" w:rsidRDefault="00A42D75" w:rsidP="00B9212C">
      <w:pPr>
        <w:pStyle w:val="Nadpis2"/>
        <w:ind w:left="397" w:hanging="397"/>
      </w:pPr>
      <w:r w:rsidRPr="006C75DC">
        <w:t>Tato Dohoda se vyhotovuje ve 2 stejnopisech, z nichž každý má platnost originálu. Každý z účastníků Dohody obdrží po jednom vyhotovení.</w:t>
      </w:r>
      <w:r w:rsidR="004009A5" w:rsidRPr="006C75DC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 xml:space="preserve">Tato Dohoda nabývá platnosti a účinnosti dnem jejího podpisu oprávněným zástupcem posledního účastníka Dohody. Podléhá-li však tato Dohoda povinnosti uveřejnění prostřednictvím registru smluv podle zákona o registru smluv, nenabude účinnosti dříve </w:t>
      </w:r>
      <w:r>
        <w:lastRenderedPageBreak/>
        <w:t>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 w:rsidR="006C75DC">
              <w:rPr>
                <w:rFonts w:ascii="Arial" w:hAnsi="Arial" w:cs="Arial"/>
              </w:rPr>
              <w:t> Rožnově p. R.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6C75DC">
              <w:rPr>
                <w:rFonts w:ascii="Arial" w:hAnsi="Arial" w:cs="Arial"/>
              </w:rPr>
              <w:t>Rožnově p. R.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EA12F1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EA12F1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0F7827" w:rsidRDefault="00EA12F1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Kocurková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  <w:bookmarkStart w:id="0" w:name="_GoBack"/>
      <w:bookmarkEnd w:id="0"/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F1" w:rsidRDefault="00EA12F1" w:rsidP="00F22E78">
      <w:pPr>
        <w:spacing w:after="0" w:line="240" w:lineRule="auto"/>
      </w:pPr>
      <w:r>
        <w:separator/>
      </w:r>
    </w:p>
  </w:endnote>
  <w:endnote w:type="continuationSeparator" w:id="0">
    <w:p w:rsidR="00EA12F1" w:rsidRDefault="00EA12F1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F1" w:rsidRDefault="00EA12F1" w:rsidP="00F22E78">
      <w:pPr>
        <w:spacing w:after="0" w:line="240" w:lineRule="auto"/>
      </w:pPr>
      <w:r>
        <w:separator/>
      </w:r>
    </w:p>
  </w:footnote>
  <w:footnote w:type="continuationSeparator" w:id="0">
    <w:p w:rsidR="00EA12F1" w:rsidRDefault="00EA12F1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fl="http://schemas.microsoft.com/office/word/2024/wordml/sdtformatlock"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KfoRbAIAAKgEAAAOAAAAZHJzL2Uyb0RvYy54bWysVEuPmzAQvlfqf7B8T4CUvFDIijyoVoqyqybVnh1jEiSwLdsJpNX+944NbNttT1UvZjwznsc337B4aKoS3ZjSheAxDoY+RoxTkRX8HOOvx3Qww0gbwjNSCs5ifGcaPyw/fljUMmIjcRFlxhSCIFxHtYzxxRgZeZ6mF1YRPRSScTDmQlXEwFWdvUyRGqJXpTfy/YlXC5VJJSjTGrSb1oiXLn6eM2qe8lwzg8oYQ23GncqdJ3t6ywWJzorIS0G7Msg/VFGRgkPSt1AbYgi6quKPUFVBldAiN0MqKk/keUGZ6wG6Cfx33RwuRDLXC4Cj5RtM+v+Fpfvbs0JFFuMwmI4n89kowIiTCkZ1ZI1BK9GgEUYZ0xRQe9wft1/2yc61CuadNrZp6+ia/T5OtmGQJqPB2k/TQRhO/cF8tQkH4zTZrJPZdL3ajl4t6J575d57tdSRq8NOzYkHCUWZBpIDp6y71WtQ2mxNrir7BfAQ2GGq97dJ2kooKMNJGMzGGFEwfQr9+XzcJe0fS6XNZyYqZIUYKyCKa4rcoKa2vt7F5uIiLcrSkaXkvymgEatxTbQV2lpNc2q6sk8iu0M3SrTc05KmBeTcEW2eiQKyQQOwQOYJjrwUdYxFJ2F0Eerb3/TWHzgAVoxqIG+MOWwXRuUjB25YnjshmPtjH26qV596gV+rtYCVgGFDQU60fqbsxVyJ6gVWK7GJwEQ4hXQxNr24Nu0WwWpSliTOCSgtidnxg6Q2tMXJgnhsXoiSHdIGRrQXPbNJ9A7w1te+1DK5GoDdTcNi2gLZQQ3r4EjUra7dt1/vzuvnD2b5AwAA//8DAFBLAwQUAAYACAAAACEA4zc6UNoAAAADAQAADwAAAGRycy9kb3ducmV2LnhtbEyPzU7DMBCE70i8g7VI3KhjqlAUsqkqpB56K+Xn7MZLEoh3o9htQ58ewwUuK41mNPNtuZx8r440hk4YwcwyUMS1uI4bhJfn9c09qBAtO9sLE8IXBVhWlxelLZyc+ImOu9ioVMKhsAhtjEOhdahb8jbMZCBO3ruM3sYkx0a70Z5Sue/1bZbdaW87TgutHeixpfpzd/AIXb6SaOh1s/5480bMebvJz1vE66tp9QAq0hT/wvCDn9ChSkx7ObALqkdIj8Tfm7zF3IDaI+TzBeiq1P/Zq28AAAD//wMAUEsBAi0AFAAGAAgAAAAhALaDOJL+AAAA4QEAABMAAAAAAAAAAAAAAAAAAAAAAFtDb250ZW50X1R5cGVzXS54bWxQSwECLQAUAAYACAAAACEAOP0h/9YAAACUAQAACwAAAAAAAAAAAAAAAAAvAQAAX3JlbHMvLnJlbHNQSwECLQAUAAYACAAAACEAZyn6EWwCAACoBAAADgAAAAAAAAAAAAAAAAAuAgAAZHJzL2Uyb0RvYy54bWxQSwECLQAUAAYACAAAACEA4zc6UNoAAAADAQAADwAAAAAAAAAAAAAAAADGBAAAZHJzL2Rvd25yZXYueG1sUEsFBgAAAAAEAAQA8wAAAM0FAAAAAA=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4893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C75DC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5FC4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C364A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df795ae-2c70-464b-8ca3-4eb6d5c688a6"/>
    <ds:schemaRef ds:uri="http://purl.org/dc/elements/1.1/"/>
    <ds:schemaRef ds:uri="http://schemas.microsoft.com/office/2006/metadata/properties"/>
    <ds:schemaRef ds:uri="http://schemas.microsoft.com/office/infopath/2007/PartnerControls"/>
    <ds:schemaRef ds:uri="63f5bd56-79c6-432a-8457-3215e7a0eadc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1578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Petra Kutílková</cp:lastModifiedBy>
  <cp:revision>3</cp:revision>
  <dcterms:created xsi:type="dcterms:W3CDTF">2025-07-07T13:06:00Z</dcterms:created>
  <dcterms:modified xsi:type="dcterms:W3CDTF">2025-07-07T13:07:00Z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