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6A7D7BE3" w:rsidR="003E56DB" w:rsidRPr="00566AC7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566AC7">
        <w:rPr>
          <w:rFonts w:ascii="Cambria" w:hAnsi="Cambria"/>
          <w:sz w:val="20"/>
        </w:rPr>
        <w:t>kupujícího:</w:t>
      </w:r>
      <w:r w:rsidR="00287FBD" w:rsidRPr="00566AC7">
        <w:rPr>
          <w:rFonts w:ascii="Cambria" w:hAnsi="Cambria"/>
          <w:sz w:val="20"/>
          <w:lang w:val="cs-CZ"/>
        </w:rPr>
        <w:t xml:space="preserve"> </w:t>
      </w:r>
      <w:r w:rsidR="00004B10" w:rsidRPr="00566AC7">
        <w:rPr>
          <w:rFonts w:ascii="Cambria" w:hAnsi="Cambria"/>
          <w:sz w:val="20"/>
          <w:lang w:val="cs-CZ"/>
        </w:rPr>
        <w:t>UK2LF/</w:t>
      </w:r>
      <w:r w:rsidR="005F5923" w:rsidRPr="00566AC7">
        <w:rPr>
          <w:rFonts w:ascii="Cambria" w:hAnsi="Cambria"/>
          <w:sz w:val="20"/>
          <w:lang w:val="cs-CZ"/>
        </w:rPr>
        <w:t>184903/2025</w:t>
      </w:r>
    </w:p>
    <w:p w14:paraId="5032CF52" w14:textId="39AA2AE0" w:rsidR="003E56DB" w:rsidRPr="00566AC7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  <w:r w:rsidRPr="00566AC7">
        <w:rPr>
          <w:rFonts w:ascii="Cambria" w:hAnsi="Cambria"/>
          <w:sz w:val="20"/>
        </w:rPr>
        <w:t>č. prodávajícího:</w:t>
      </w:r>
      <w:r w:rsidR="00380897" w:rsidRPr="00566AC7">
        <w:rPr>
          <w:rFonts w:ascii="Cambria" w:hAnsi="Cambria"/>
          <w:sz w:val="20"/>
          <w:lang w:val="cs-CZ"/>
        </w:rPr>
        <w:t xml:space="preserve"> </w:t>
      </w:r>
      <w:r w:rsidR="00566AC7" w:rsidRPr="00566AC7">
        <w:rPr>
          <w:rFonts w:ascii="Cambria" w:hAnsi="Cambria"/>
          <w:sz w:val="20"/>
          <w:lang w:val="cs-CZ"/>
        </w:rPr>
        <w:t>25NV-LT-0004</w:t>
      </w:r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Markem </w:t>
      </w:r>
      <w:proofErr w:type="spellStart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Babjukem</w:t>
      </w:r>
      <w:proofErr w:type="spellEnd"/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DE0C8F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31F86D5C" w14:textId="10181EF5" w:rsidR="00287FBD" w:rsidRDefault="003E56DB" w:rsidP="00292EDB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566AC7">
        <w:rPr>
          <w:rFonts w:ascii="Cambria" w:hAnsi="Cambria"/>
          <w:b/>
          <w:sz w:val="20"/>
          <w:szCs w:val="20"/>
        </w:rPr>
        <w:t>Prodávající</w:t>
      </w:r>
      <w:r w:rsidR="00566AC7">
        <w:rPr>
          <w:rFonts w:ascii="Cambria" w:hAnsi="Cambria"/>
          <w:b/>
          <w:sz w:val="20"/>
          <w:szCs w:val="20"/>
        </w:rPr>
        <w:t>:</w:t>
      </w:r>
    </w:p>
    <w:p w14:paraId="238E3FBF" w14:textId="23E2C0DA" w:rsidR="00566AC7" w:rsidRPr="00566AC7" w:rsidRDefault="00566AC7" w:rsidP="00566AC7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SNT Plus s.r.o.</w:t>
      </w:r>
    </w:p>
    <w:p w14:paraId="22882AA8" w14:textId="71ACEA4B" w:rsidR="00287FBD" w:rsidRPr="00566AC7" w:rsidRDefault="003E56DB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Sídlo</w:t>
      </w:r>
      <w:r w:rsidR="00CF72A4" w:rsidRPr="00566AC7">
        <w:rPr>
          <w:rFonts w:ascii="Cambria" w:hAnsi="Cambria"/>
          <w:sz w:val="20"/>
          <w:szCs w:val="20"/>
        </w:rPr>
        <w:t>/místo podnikání</w:t>
      </w:r>
      <w:r w:rsidRPr="00566AC7">
        <w:rPr>
          <w:rFonts w:ascii="Cambria" w:hAnsi="Cambria"/>
          <w:sz w:val="20"/>
          <w:szCs w:val="20"/>
        </w:rPr>
        <w:t>:</w:t>
      </w:r>
      <w:r w:rsidR="00287FBD" w:rsidRPr="00566AC7">
        <w:rPr>
          <w:rFonts w:ascii="Cambria" w:hAnsi="Cambria"/>
          <w:sz w:val="20"/>
          <w:szCs w:val="20"/>
        </w:rPr>
        <w:t xml:space="preserve"> 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Novodvorská 994/138, 142 00 Praha 4</w:t>
      </w:r>
    </w:p>
    <w:p w14:paraId="5CD92667" w14:textId="0ECCE429" w:rsidR="00287FBD" w:rsidRPr="00566AC7" w:rsidRDefault="00287FBD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 xml:space="preserve">Korespondenční adresa: 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Novodvorská 994/138, 142 00 Praha 4</w:t>
      </w:r>
    </w:p>
    <w:p w14:paraId="11A3202D" w14:textId="33918A15" w:rsidR="003E56DB" w:rsidRPr="00566AC7" w:rsidRDefault="003E56DB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Zastoupen:</w:t>
      </w:r>
      <w:r w:rsidR="004433A7" w:rsidRPr="00566AC7">
        <w:rPr>
          <w:rFonts w:ascii="Cambria" w:hAnsi="Cambria"/>
          <w:sz w:val="20"/>
          <w:szCs w:val="20"/>
        </w:rPr>
        <w:t xml:space="preserve"> 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 xml:space="preserve">Ing. Ludvíkem </w:t>
      </w:r>
      <w:proofErr w:type="spellStart"/>
      <w:r w:rsidR="00566AC7">
        <w:rPr>
          <w:rFonts w:ascii="Cambria" w:hAnsi="Cambria"/>
          <w:sz w:val="20"/>
        </w:rPr>
        <w:t>Tótem</w:t>
      </w:r>
      <w:proofErr w:type="spellEnd"/>
      <w:r w:rsidR="00566AC7">
        <w:rPr>
          <w:rFonts w:ascii="Cambria" w:hAnsi="Cambria"/>
          <w:sz w:val="20"/>
        </w:rPr>
        <w:t>, jednatelem</w:t>
      </w:r>
    </w:p>
    <w:p w14:paraId="3A162142" w14:textId="0EE7EB39" w:rsidR="003E56DB" w:rsidRPr="00566AC7" w:rsidRDefault="00D125D9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IČ</w:t>
      </w:r>
      <w:r w:rsidR="00BC6189" w:rsidRPr="00566AC7">
        <w:rPr>
          <w:rFonts w:ascii="Cambria" w:hAnsi="Cambria"/>
          <w:sz w:val="20"/>
          <w:szCs w:val="20"/>
        </w:rPr>
        <w:t>O</w:t>
      </w:r>
      <w:r w:rsidR="003E56DB" w:rsidRPr="00566AC7">
        <w:rPr>
          <w:rFonts w:ascii="Cambria" w:hAnsi="Cambria"/>
          <w:sz w:val="20"/>
          <w:szCs w:val="20"/>
        </w:rPr>
        <w:t>:</w:t>
      </w:r>
      <w:r w:rsidR="008F5748" w:rsidRPr="00566AC7">
        <w:rPr>
          <w:rFonts w:ascii="Cambria" w:hAnsi="Cambria"/>
          <w:sz w:val="20"/>
          <w:szCs w:val="20"/>
        </w:rPr>
        <w:t xml:space="preserve"> 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25701576</w:t>
      </w:r>
    </w:p>
    <w:p w14:paraId="7E06C2AE" w14:textId="192B7395" w:rsidR="00287FBD" w:rsidRPr="00566AC7" w:rsidRDefault="003E56DB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DIČ:</w:t>
      </w:r>
      <w:r w:rsidR="008F5748" w:rsidRPr="00566AC7">
        <w:rPr>
          <w:rFonts w:ascii="Cambria" w:hAnsi="Cambria"/>
          <w:sz w:val="20"/>
          <w:szCs w:val="20"/>
        </w:rPr>
        <w:t xml:space="preserve"> 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  <w:szCs w:val="20"/>
        </w:rPr>
        <w:tab/>
        <w:t>CZ25701576</w:t>
      </w:r>
    </w:p>
    <w:p w14:paraId="64678804" w14:textId="02B820A8" w:rsidR="008F5748" w:rsidRPr="00566AC7" w:rsidRDefault="008F5748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ID datové schránky: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e6zyqcp</w:t>
      </w:r>
    </w:p>
    <w:p w14:paraId="72D9F690" w14:textId="4B157C0E" w:rsidR="00287FBD" w:rsidRPr="00566AC7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Bankovní spojení</w:t>
      </w:r>
      <w:r w:rsidR="00C64D25" w:rsidRPr="00566AC7">
        <w:rPr>
          <w:rFonts w:ascii="Cambria" w:hAnsi="Cambria"/>
          <w:sz w:val="20"/>
          <w:szCs w:val="20"/>
        </w:rPr>
        <w:t>, č. účtu</w:t>
      </w:r>
      <w:r w:rsidRPr="00566AC7">
        <w:rPr>
          <w:rFonts w:ascii="Cambria" w:hAnsi="Cambria"/>
          <w:sz w:val="20"/>
          <w:szCs w:val="20"/>
        </w:rPr>
        <w:t>:</w:t>
      </w:r>
      <w:r w:rsidR="00287FBD" w:rsidRPr="00566AC7">
        <w:rPr>
          <w:rFonts w:ascii="Cambria" w:hAnsi="Cambria"/>
          <w:sz w:val="20"/>
          <w:szCs w:val="20"/>
        </w:rPr>
        <w:t xml:space="preserve"> </w:t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Raiffeisenbank a.s.</w:t>
      </w:r>
    </w:p>
    <w:p w14:paraId="2ED4EED8" w14:textId="510C97A3" w:rsidR="003E56DB" w:rsidRPr="00566AC7" w:rsidRDefault="003E56DB" w:rsidP="00292EDB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Registrace:</w:t>
      </w:r>
      <w:r w:rsidR="000E0267" w:rsidRPr="00566AC7">
        <w:rPr>
          <w:rFonts w:ascii="Cambria" w:hAnsi="Cambria"/>
          <w:sz w:val="20"/>
          <w:szCs w:val="20"/>
        </w:rPr>
        <w:t xml:space="preserve"> </w:t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4433A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OR vedený u Městského soudu v Praze, oddíl C, vložka 62478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 w:rsidRPr="00566AC7">
        <w:rPr>
          <w:rFonts w:ascii="Cambria" w:hAnsi="Cambria"/>
          <w:b/>
          <w:sz w:val="20"/>
          <w:szCs w:val="20"/>
        </w:rPr>
        <w:t>(dále jen „P</w:t>
      </w:r>
      <w:r w:rsidR="003E56DB" w:rsidRPr="00566AC7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700C952E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873157" w:rsidRPr="00873157">
        <w:rPr>
          <w:rFonts w:ascii="Cambria" w:hAnsi="Cambria"/>
          <w:bCs/>
          <w:sz w:val="20"/>
          <w:szCs w:val="20"/>
        </w:rPr>
        <w:t>medicínsk</w:t>
      </w:r>
      <w:r w:rsidR="00873157">
        <w:rPr>
          <w:rFonts w:ascii="Cambria" w:hAnsi="Cambria"/>
          <w:bCs/>
          <w:sz w:val="20"/>
          <w:szCs w:val="20"/>
        </w:rPr>
        <w:t>ého</w:t>
      </w:r>
      <w:r w:rsidR="00873157" w:rsidRPr="00873157">
        <w:rPr>
          <w:rFonts w:ascii="Cambria" w:hAnsi="Cambria"/>
          <w:bCs/>
          <w:sz w:val="20"/>
          <w:szCs w:val="20"/>
        </w:rPr>
        <w:t xml:space="preserve"> výukov</w:t>
      </w:r>
      <w:r w:rsidR="00873157">
        <w:rPr>
          <w:rFonts w:ascii="Cambria" w:hAnsi="Cambria"/>
          <w:bCs/>
          <w:sz w:val="20"/>
          <w:szCs w:val="20"/>
        </w:rPr>
        <w:t>ého</w:t>
      </w:r>
      <w:r w:rsidR="00873157" w:rsidRPr="00873157">
        <w:rPr>
          <w:rFonts w:ascii="Cambria" w:hAnsi="Cambria"/>
          <w:bCs/>
          <w:sz w:val="20"/>
          <w:szCs w:val="20"/>
        </w:rPr>
        <w:t xml:space="preserve"> simulátor</w:t>
      </w:r>
      <w:r w:rsidR="00873157">
        <w:rPr>
          <w:rFonts w:ascii="Cambria" w:hAnsi="Cambria"/>
          <w:bCs/>
          <w:sz w:val="20"/>
          <w:szCs w:val="20"/>
        </w:rPr>
        <w:t>u</w:t>
      </w:r>
      <w:r w:rsidR="00873157" w:rsidRPr="00873157">
        <w:rPr>
          <w:rFonts w:ascii="Cambria" w:hAnsi="Cambria"/>
          <w:bCs/>
          <w:sz w:val="20"/>
          <w:szCs w:val="20"/>
        </w:rPr>
        <w:t xml:space="preserve"> zavádění jehel pomocí ultrazvukového zobrazovače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314FB326" w:rsidR="005F5923" w:rsidRPr="005F5923" w:rsidRDefault="00E54978" w:rsidP="005F5923">
      <w:pPr>
        <w:pStyle w:val="FormtovanvHTML"/>
        <w:ind w:left="284"/>
        <w:jc w:val="both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bookmarkStart w:id="2" w:name="_Hlk152767944"/>
      <w:proofErr w:type="spellStart"/>
      <w:r w:rsidR="00873157" w:rsidRPr="00873157">
        <w:rPr>
          <w:rFonts w:ascii="Cambria" w:eastAsia="Arial" w:hAnsi="Cambria"/>
          <w:b/>
          <w:bCs/>
        </w:rPr>
        <w:t>Needle</w:t>
      </w:r>
      <w:proofErr w:type="spellEnd"/>
      <w:r w:rsidR="00873157" w:rsidRPr="00873157">
        <w:rPr>
          <w:rFonts w:ascii="Cambria" w:eastAsia="Arial" w:hAnsi="Cambria"/>
          <w:b/>
          <w:bCs/>
        </w:rPr>
        <w:t xml:space="preserve"> </w:t>
      </w:r>
      <w:proofErr w:type="spellStart"/>
      <w:r w:rsidR="00873157" w:rsidRPr="00873157">
        <w:rPr>
          <w:rFonts w:ascii="Cambria" w:eastAsia="Arial" w:hAnsi="Cambria"/>
          <w:b/>
          <w:bCs/>
        </w:rPr>
        <w:t>Trainer</w:t>
      </w:r>
      <w:proofErr w:type="spellEnd"/>
      <w:r w:rsidR="00873157" w:rsidRPr="00873157">
        <w:rPr>
          <w:rFonts w:ascii="Cambria" w:eastAsia="Arial" w:hAnsi="Cambria"/>
          <w:b/>
          <w:bCs/>
        </w:rPr>
        <w:t xml:space="preserve"> – výukový simulátor zavádění jehel pomocí ultrazvukové navigace</w:t>
      </w:r>
      <w:bookmarkEnd w:id="2"/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>v rámci zadávacího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</w:t>
      </w:r>
      <w:proofErr w:type="spellStart"/>
      <w:r w:rsidR="005F5923" w:rsidRPr="005F5923">
        <w:rPr>
          <w:rFonts w:ascii="Cambria" w:eastAsia="Arial" w:hAnsi="Cambria"/>
          <w:b/>
          <w:bCs/>
        </w:rPr>
        <w:t>reg</w:t>
      </w:r>
      <w:proofErr w:type="spellEnd"/>
      <w:r w:rsidR="005F5923" w:rsidRPr="005F5923">
        <w:rPr>
          <w:rFonts w:ascii="Cambria" w:eastAsia="Arial" w:hAnsi="Cambria"/>
          <w:b/>
          <w:bCs/>
        </w:rPr>
        <w:t xml:space="preserve">. číslo projektu </w:t>
      </w:r>
      <w:bookmarkStart w:id="3" w:name="_Hlk193367381"/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3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500991DF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implementace a připojení všech uvedených komponent, instruktáž a zaškolení obsluhy dle příslušné právní úpravy vč. zkušebního provozu </w:t>
      </w:r>
      <w:r w:rsidR="00932ED2" w:rsidRPr="00E53C41">
        <w:rPr>
          <w:rFonts w:ascii="Cambria" w:hAnsi="Cambria" w:cs="Arial"/>
          <w:bCs/>
          <w:sz w:val="20"/>
          <w:szCs w:val="20"/>
        </w:rPr>
        <w:t>předmětu plnění</w:t>
      </w:r>
      <w:r w:rsidR="00932ED2" w:rsidRPr="00E53C41">
        <w:rPr>
          <w:rFonts w:ascii="Cambria" w:hAnsi="Cambria"/>
          <w:sz w:val="20"/>
          <w:szCs w:val="20"/>
        </w:rPr>
        <w:t xml:space="preserve"> v místě plnění</w:t>
      </w:r>
      <w:r w:rsidR="00414F26" w:rsidRPr="00E53C41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4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4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0B95AC88" w:rsidR="006B3929" w:rsidRDefault="00566AC7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999 800,00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3ABE2193" w:rsidR="006B3929" w:rsidRDefault="00566AC7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21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1523AC9B" w:rsidR="006B3929" w:rsidRDefault="00566AC7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209 958,00</w:t>
      </w:r>
      <w:r w:rsidR="006B3929">
        <w:rPr>
          <w:rFonts w:ascii="Cambria" w:hAnsi="Cambria"/>
          <w:sz w:val="20"/>
          <w:szCs w:val="20"/>
          <w:lang w:val="cs-CZ" w:eastAsia="ar-SA"/>
        </w:rPr>
        <w:t xml:space="preserve">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1558E895" w:rsidR="006B3929" w:rsidRDefault="00566AC7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 xml:space="preserve">1 209 758,00 </w:t>
      </w:r>
      <w:r w:rsidR="006B3929">
        <w:rPr>
          <w:rFonts w:ascii="Cambria" w:hAnsi="Cambria"/>
          <w:sz w:val="20"/>
          <w:szCs w:val="20"/>
          <w:lang w:val="cs-CZ" w:eastAsia="ar-SA"/>
        </w:rPr>
        <w:t>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proofErr w:type="spellStart"/>
      <w:r w:rsidRPr="004D7EFF">
        <w:rPr>
          <w:rFonts w:ascii="Cambria" w:hAnsi="Cambria"/>
          <w:sz w:val="20"/>
          <w:szCs w:val="20"/>
        </w:rPr>
        <w:t>mlouvy</w:t>
      </w:r>
      <w:proofErr w:type="spellEnd"/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3FFE8AB0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r w:rsidR="00566AC7">
        <w:t>………………….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6FB74D5C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t xml:space="preserve">Prodávající se zavazuje nejpozději </w:t>
      </w:r>
      <w:r w:rsidR="00F12F3A" w:rsidRPr="00873157">
        <w:rPr>
          <w:rFonts w:ascii="Cambria" w:hAnsi="Cambria"/>
          <w:bCs/>
          <w:sz w:val="20"/>
          <w:szCs w:val="20"/>
        </w:rPr>
        <w:t>d</w:t>
      </w:r>
      <w:r w:rsidR="00033430" w:rsidRPr="00873157">
        <w:rPr>
          <w:rFonts w:ascii="Cambria" w:hAnsi="Cambria"/>
          <w:bCs/>
          <w:sz w:val="20"/>
          <w:szCs w:val="20"/>
        </w:rPr>
        <w:t>o</w:t>
      </w:r>
      <w:r w:rsidR="00AB06A9" w:rsidRPr="00873157">
        <w:rPr>
          <w:rFonts w:ascii="Cambria" w:hAnsi="Cambria"/>
          <w:bCs/>
          <w:sz w:val="20"/>
          <w:szCs w:val="20"/>
        </w:rPr>
        <w:t xml:space="preserve"> </w:t>
      </w:r>
      <w:r w:rsidR="00873157" w:rsidRPr="00873157">
        <w:rPr>
          <w:rFonts w:ascii="Cambria" w:hAnsi="Cambria"/>
          <w:bCs/>
          <w:sz w:val="20"/>
        </w:rPr>
        <w:t>9</w:t>
      </w:r>
      <w:r w:rsidR="00065719" w:rsidRPr="00873157">
        <w:rPr>
          <w:rFonts w:ascii="Cambria" w:hAnsi="Cambria"/>
          <w:bCs/>
          <w:sz w:val="20"/>
        </w:rPr>
        <w:t xml:space="preserve">0 </w:t>
      </w:r>
      <w:r w:rsidR="004E061E" w:rsidRPr="00873157">
        <w:rPr>
          <w:rFonts w:ascii="Cambria" w:hAnsi="Cambria"/>
          <w:bCs/>
          <w:sz w:val="20"/>
          <w:szCs w:val="20"/>
        </w:rPr>
        <w:t>d</w:t>
      </w:r>
      <w:r w:rsidR="00EF432E" w:rsidRPr="00873157">
        <w:rPr>
          <w:rFonts w:ascii="Cambria" w:hAnsi="Cambria"/>
          <w:bCs/>
          <w:sz w:val="20"/>
          <w:szCs w:val="20"/>
        </w:rPr>
        <w:t>nů</w:t>
      </w:r>
      <w:r w:rsidR="004173EF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ode dne účinnosti této S</w:t>
      </w:r>
      <w:r w:rsidRPr="00873157">
        <w:rPr>
          <w:rFonts w:ascii="Cambria" w:hAnsi="Cambria"/>
          <w:bCs/>
          <w:sz w:val="20"/>
          <w:szCs w:val="20"/>
        </w:rPr>
        <w:t>mlouvy,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</w:t>
      </w:r>
      <w:r w:rsidR="0010321F">
        <w:rPr>
          <w:rFonts w:ascii="Cambria" w:hAnsi="Cambria"/>
          <w:bCs/>
          <w:sz w:val="20"/>
          <w:szCs w:val="20"/>
        </w:rPr>
        <w:lastRenderedPageBreak/>
        <w:t>uvedeného v </w:t>
      </w:r>
      <w:proofErr w:type="spellStart"/>
      <w:r w:rsidR="0010321F">
        <w:rPr>
          <w:rFonts w:ascii="Cambria" w:hAnsi="Cambria"/>
          <w:bCs/>
          <w:sz w:val="20"/>
          <w:szCs w:val="20"/>
        </w:rPr>
        <w:t>ust</w:t>
      </w:r>
      <w:proofErr w:type="spellEnd"/>
      <w:r w:rsidR="0010321F">
        <w:rPr>
          <w:rFonts w:ascii="Cambria" w:hAnsi="Cambria"/>
          <w:bCs/>
          <w:sz w:val="20"/>
          <w:szCs w:val="20"/>
        </w:rPr>
        <w:t>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266E3797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 xml:space="preserve">Prodávající se zavazuje na své náklady a nebezpečí dodat zboží do následujícího místa plnění: </w:t>
      </w:r>
      <w:hyperlink r:id="rId12" w:history="1">
        <w:r w:rsidR="00873157" w:rsidRPr="00341230">
          <w:rPr>
            <w:rFonts w:ascii="Cambria" w:hAnsi="Cambria"/>
            <w:sz w:val="20"/>
            <w:szCs w:val="20"/>
          </w:rPr>
          <w:t>Klinika anesteziologie, resuscitace a intenzivní medicíny</w:t>
        </w:r>
      </w:hyperlink>
      <w:r w:rsidR="00873157" w:rsidRPr="00341230">
        <w:rPr>
          <w:rFonts w:ascii="Cambria" w:hAnsi="Cambria"/>
          <w:sz w:val="20"/>
          <w:szCs w:val="20"/>
        </w:rPr>
        <w:t xml:space="preserve">, </w:t>
      </w:r>
      <w:r w:rsidR="00341230">
        <w:rPr>
          <w:rFonts w:ascii="Cambria" w:hAnsi="Cambria"/>
          <w:sz w:val="20"/>
          <w:szCs w:val="20"/>
        </w:rPr>
        <w:t>V Úvalu 84,</w:t>
      </w:r>
      <w:r w:rsidRPr="00341230">
        <w:rPr>
          <w:rFonts w:ascii="Cambria" w:hAnsi="Cambria"/>
          <w:sz w:val="20"/>
          <w:szCs w:val="20"/>
        </w:rPr>
        <w:t xml:space="preserve"> 150 00 Praha 5 – Motol.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19950AC8" w14:textId="39A570D0" w:rsidR="00E41941" w:rsidRPr="00566AC7" w:rsidRDefault="003E56DB" w:rsidP="00901DBC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 xml:space="preserve">O </w:t>
      </w:r>
      <w:r w:rsidR="004F368A" w:rsidRPr="00566AC7">
        <w:rPr>
          <w:rFonts w:ascii="Cambria" w:hAnsi="Cambria"/>
          <w:sz w:val="20"/>
          <w:szCs w:val="20"/>
        </w:rPr>
        <w:t xml:space="preserve">odevzdání </w:t>
      </w:r>
      <w:r w:rsidR="00E91F4F" w:rsidRPr="00566AC7">
        <w:rPr>
          <w:rFonts w:ascii="Cambria" w:hAnsi="Cambria"/>
          <w:sz w:val="20"/>
          <w:szCs w:val="20"/>
        </w:rPr>
        <w:t xml:space="preserve">předmětu plnění </w:t>
      </w:r>
      <w:r w:rsidR="0010321F" w:rsidRPr="00566AC7">
        <w:rPr>
          <w:rFonts w:ascii="Cambria" w:hAnsi="Cambria"/>
          <w:sz w:val="20"/>
          <w:szCs w:val="20"/>
        </w:rPr>
        <w:t>P</w:t>
      </w:r>
      <w:r w:rsidR="004F368A" w:rsidRPr="00566AC7">
        <w:rPr>
          <w:rFonts w:ascii="Cambria" w:hAnsi="Cambria"/>
          <w:sz w:val="20"/>
          <w:szCs w:val="20"/>
        </w:rPr>
        <w:t xml:space="preserve">rodávajícím a </w:t>
      </w:r>
      <w:r w:rsidRPr="00566AC7">
        <w:rPr>
          <w:rFonts w:ascii="Cambria" w:hAnsi="Cambria"/>
          <w:sz w:val="20"/>
          <w:szCs w:val="20"/>
        </w:rPr>
        <w:t xml:space="preserve">převzetí </w:t>
      </w:r>
      <w:r w:rsidR="00E91F4F" w:rsidRPr="00566AC7">
        <w:rPr>
          <w:rFonts w:ascii="Cambria" w:hAnsi="Cambria"/>
          <w:sz w:val="20"/>
          <w:szCs w:val="20"/>
        </w:rPr>
        <w:t xml:space="preserve">předmětu plnění </w:t>
      </w:r>
      <w:r w:rsidR="0010321F" w:rsidRPr="00566AC7">
        <w:rPr>
          <w:rFonts w:ascii="Cambria" w:hAnsi="Cambria"/>
          <w:sz w:val="20"/>
          <w:szCs w:val="20"/>
        </w:rPr>
        <w:t>K</w:t>
      </w:r>
      <w:r w:rsidR="004F368A" w:rsidRPr="00566AC7">
        <w:rPr>
          <w:rFonts w:ascii="Cambria" w:hAnsi="Cambria"/>
          <w:sz w:val="20"/>
          <w:szCs w:val="20"/>
        </w:rPr>
        <w:t xml:space="preserve">upujícím </w:t>
      </w:r>
      <w:r w:rsidR="00CC466F" w:rsidRPr="00566AC7">
        <w:rPr>
          <w:rFonts w:ascii="Cambria" w:hAnsi="Cambria"/>
          <w:sz w:val="20"/>
          <w:szCs w:val="20"/>
        </w:rPr>
        <w:t xml:space="preserve">a </w:t>
      </w:r>
      <w:r w:rsidR="004F368A" w:rsidRPr="00566AC7">
        <w:rPr>
          <w:rFonts w:ascii="Cambria" w:hAnsi="Cambria"/>
          <w:sz w:val="20"/>
          <w:szCs w:val="20"/>
        </w:rPr>
        <w:t xml:space="preserve">o </w:t>
      </w:r>
      <w:r w:rsidR="00CC466F" w:rsidRPr="00566AC7">
        <w:rPr>
          <w:rFonts w:ascii="Cambria" w:hAnsi="Cambria"/>
          <w:sz w:val="20"/>
          <w:szCs w:val="20"/>
        </w:rPr>
        <w:t xml:space="preserve">poskytnutí souvisejícího plnění </w:t>
      </w:r>
      <w:r w:rsidR="0010321F" w:rsidRPr="00566AC7">
        <w:rPr>
          <w:rFonts w:ascii="Cambria" w:hAnsi="Cambria"/>
          <w:sz w:val="20"/>
          <w:szCs w:val="20"/>
        </w:rPr>
        <w:t>P</w:t>
      </w:r>
      <w:r w:rsidR="004F368A" w:rsidRPr="00566AC7">
        <w:rPr>
          <w:rFonts w:ascii="Cambria" w:hAnsi="Cambria"/>
          <w:sz w:val="20"/>
          <w:szCs w:val="20"/>
        </w:rPr>
        <w:t>rodávajícím</w:t>
      </w:r>
      <w:r w:rsidR="0010321F" w:rsidRPr="00566AC7">
        <w:rPr>
          <w:rFonts w:ascii="Cambria" w:hAnsi="Cambria"/>
          <w:sz w:val="20"/>
          <w:szCs w:val="20"/>
        </w:rPr>
        <w:t xml:space="preserve"> dle čl. I. odst. 4 této S</w:t>
      </w:r>
      <w:r w:rsidR="00CC466F" w:rsidRPr="00566AC7">
        <w:rPr>
          <w:rFonts w:ascii="Cambria" w:hAnsi="Cambria"/>
          <w:sz w:val="20"/>
          <w:szCs w:val="20"/>
        </w:rPr>
        <w:t xml:space="preserve">mlouvy </w:t>
      </w:r>
      <w:r w:rsidRPr="00566AC7">
        <w:rPr>
          <w:rFonts w:ascii="Cambria" w:hAnsi="Cambria"/>
          <w:sz w:val="20"/>
          <w:szCs w:val="20"/>
        </w:rPr>
        <w:t>bude mezi smluvními stranam</w:t>
      </w:r>
      <w:r w:rsidR="00E92A44" w:rsidRPr="00566AC7">
        <w:rPr>
          <w:rFonts w:ascii="Cambria" w:hAnsi="Cambria"/>
          <w:sz w:val="20"/>
          <w:szCs w:val="20"/>
        </w:rPr>
        <w:t xml:space="preserve">i sepsán a podepsán Přejímací </w:t>
      </w:r>
      <w:r w:rsidRPr="00566AC7">
        <w:rPr>
          <w:rFonts w:ascii="Cambria" w:hAnsi="Cambria"/>
          <w:sz w:val="20"/>
          <w:szCs w:val="20"/>
        </w:rPr>
        <w:t>protokol</w:t>
      </w:r>
      <w:r w:rsidR="005030C2" w:rsidRPr="00566AC7">
        <w:rPr>
          <w:rFonts w:ascii="Cambria" w:hAnsi="Cambria"/>
          <w:sz w:val="20"/>
          <w:szCs w:val="20"/>
        </w:rPr>
        <w:t>, který je dok</w:t>
      </w:r>
      <w:r w:rsidR="0010321F" w:rsidRPr="00566AC7">
        <w:rPr>
          <w:rFonts w:ascii="Cambria" w:hAnsi="Cambria"/>
          <w:sz w:val="20"/>
          <w:szCs w:val="20"/>
        </w:rPr>
        <w:t>ladem o řádném splnění závazku P</w:t>
      </w:r>
      <w:r w:rsidR="005030C2" w:rsidRPr="00566AC7">
        <w:rPr>
          <w:rFonts w:ascii="Cambria" w:hAnsi="Cambria"/>
          <w:sz w:val="20"/>
          <w:szCs w:val="20"/>
        </w:rPr>
        <w:t>rodávajícího</w:t>
      </w:r>
      <w:r w:rsidR="0016265F" w:rsidRPr="00566AC7">
        <w:rPr>
          <w:rFonts w:ascii="Cambria" w:hAnsi="Cambria"/>
          <w:sz w:val="20"/>
          <w:szCs w:val="20"/>
        </w:rPr>
        <w:t>,</w:t>
      </w:r>
      <w:r w:rsidR="005030C2" w:rsidRPr="00566AC7">
        <w:rPr>
          <w:rFonts w:ascii="Cambria" w:hAnsi="Cambria"/>
          <w:sz w:val="20"/>
          <w:szCs w:val="20"/>
        </w:rPr>
        <w:t xml:space="preserve"> pouze pokud</w:t>
      </w:r>
      <w:r w:rsidR="0010321F" w:rsidRPr="00566AC7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566AC7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566AC7">
        <w:rPr>
          <w:rFonts w:ascii="Cambria" w:hAnsi="Cambria"/>
          <w:sz w:val="20"/>
          <w:szCs w:val="20"/>
        </w:rPr>
        <w:t>.</w:t>
      </w:r>
      <w:r w:rsidR="000D6FBF" w:rsidRPr="00566AC7">
        <w:rPr>
          <w:rFonts w:ascii="Cambria" w:hAnsi="Cambria"/>
          <w:sz w:val="20"/>
          <w:szCs w:val="20"/>
        </w:rPr>
        <w:t xml:space="preserve"> </w:t>
      </w:r>
      <w:r w:rsidR="0010321F" w:rsidRPr="00566AC7">
        <w:rPr>
          <w:rFonts w:ascii="Cambria" w:hAnsi="Cambria"/>
          <w:b/>
          <w:sz w:val="20"/>
          <w:szCs w:val="20"/>
        </w:rPr>
        <w:t>Za K</w:t>
      </w:r>
      <w:r w:rsidRPr="00566AC7">
        <w:rPr>
          <w:rFonts w:ascii="Cambria" w:hAnsi="Cambria"/>
          <w:b/>
          <w:sz w:val="20"/>
          <w:szCs w:val="20"/>
        </w:rPr>
        <w:t>upujícího j</w:t>
      </w:r>
      <w:r w:rsidR="007C6586" w:rsidRPr="00566AC7">
        <w:rPr>
          <w:rFonts w:ascii="Cambria" w:hAnsi="Cambria"/>
          <w:b/>
          <w:sz w:val="20"/>
          <w:szCs w:val="20"/>
        </w:rPr>
        <w:t>e</w:t>
      </w:r>
      <w:r w:rsidRPr="00566AC7">
        <w:rPr>
          <w:rFonts w:ascii="Cambria" w:hAnsi="Cambria"/>
          <w:b/>
          <w:sz w:val="20"/>
          <w:szCs w:val="20"/>
        </w:rPr>
        <w:t xml:space="preserve"> zbož</w:t>
      </w:r>
      <w:r w:rsidR="00E92A44" w:rsidRPr="00566AC7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566AC7">
        <w:rPr>
          <w:rFonts w:ascii="Cambria" w:hAnsi="Cambria"/>
          <w:b/>
          <w:sz w:val="20"/>
          <w:szCs w:val="20"/>
        </w:rPr>
        <w:t>protokol podepsat:</w:t>
      </w:r>
      <w:r w:rsidR="00E54978" w:rsidRPr="00566AC7">
        <w:rPr>
          <w:rFonts w:ascii="Cambria" w:hAnsi="Cambria"/>
          <w:sz w:val="20"/>
          <w:szCs w:val="20"/>
        </w:rPr>
        <w:t xml:space="preserve"> </w:t>
      </w:r>
      <w:r w:rsidR="00F261D3" w:rsidRPr="00566AC7">
        <w:rPr>
          <w:rFonts w:ascii="Cambria" w:hAnsi="Cambria"/>
          <w:sz w:val="20"/>
          <w:szCs w:val="20"/>
        </w:rPr>
        <w:t xml:space="preserve">pan/ paní: </w:t>
      </w:r>
      <w:r w:rsidR="00C958E9" w:rsidRPr="00566AC7">
        <w:rPr>
          <w:rFonts w:ascii="Cambria" w:hAnsi="Cambria"/>
          <w:sz w:val="20"/>
          <w:szCs w:val="20"/>
        </w:rPr>
        <w:t>………</w:t>
      </w:r>
      <w:proofErr w:type="gramStart"/>
      <w:r w:rsidR="00C958E9" w:rsidRPr="00566AC7">
        <w:rPr>
          <w:rFonts w:ascii="Cambria" w:hAnsi="Cambria"/>
          <w:sz w:val="20"/>
          <w:szCs w:val="20"/>
        </w:rPr>
        <w:t>…….</w:t>
      </w:r>
      <w:proofErr w:type="gramEnd"/>
      <w:r w:rsidR="00065719" w:rsidRPr="00566AC7">
        <w:rPr>
          <w:rFonts w:ascii="Cambria" w:hAnsi="Cambria"/>
          <w:sz w:val="20"/>
          <w:szCs w:val="20"/>
        </w:rPr>
        <w:t xml:space="preserve">, </w:t>
      </w:r>
      <w:proofErr w:type="gramStart"/>
      <w:r w:rsidR="00F261D3" w:rsidRPr="00566AC7">
        <w:rPr>
          <w:rFonts w:ascii="Cambria" w:hAnsi="Cambria"/>
          <w:sz w:val="20"/>
          <w:szCs w:val="20"/>
        </w:rPr>
        <w:t>tel.:</w:t>
      </w:r>
      <w:r w:rsidR="005F5923" w:rsidRPr="00566AC7">
        <w:rPr>
          <w:rFonts w:ascii="Cambria" w:hAnsi="Cambria"/>
          <w:sz w:val="20"/>
          <w:szCs w:val="20"/>
        </w:rPr>
        <w:t>…</w:t>
      </w:r>
      <w:proofErr w:type="gramEnd"/>
      <w:r w:rsidR="005F5923" w:rsidRPr="00566AC7">
        <w:rPr>
          <w:rFonts w:ascii="Cambria" w:hAnsi="Cambria"/>
          <w:sz w:val="20"/>
          <w:szCs w:val="20"/>
        </w:rPr>
        <w:t>..</w:t>
      </w:r>
      <w:r w:rsidR="00065719" w:rsidRPr="00566AC7">
        <w:rPr>
          <w:rFonts w:ascii="Cambria" w:hAnsi="Cambria"/>
          <w:sz w:val="20"/>
          <w:szCs w:val="20"/>
        </w:rPr>
        <w:t xml:space="preserve"> </w:t>
      </w:r>
      <w:r w:rsidR="00C958E9" w:rsidRPr="00566AC7">
        <w:rPr>
          <w:rFonts w:ascii="Cambria" w:hAnsi="Cambria"/>
          <w:sz w:val="20"/>
          <w:szCs w:val="20"/>
        </w:rPr>
        <w:t>…</w:t>
      </w:r>
      <w:r w:rsidR="00F261D3" w:rsidRPr="00566AC7">
        <w:rPr>
          <w:rFonts w:ascii="Cambria" w:hAnsi="Cambria"/>
          <w:sz w:val="20"/>
          <w:szCs w:val="20"/>
        </w:rPr>
        <w:t xml:space="preserve">, e-mail: </w:t>
      </w:r>
      <w:r w:rsidR="00C958E9" w:rsidRPr="00566AC7">
        <w:rPr>
          <w:rFonts w:ascii="Cambria" w:hAnsi="Cambria"/>
          <w:sz w:val="20"/>
          <w:szCs w:val="20"/>
        </w:rPr>
        <w:t xml:space="preserve">…. </w:t>
      </w:r>
      <w:r w:rsidR="00065719" w:rsidRPr="00566AC7">
        <w:rPr>
          <w:rFonts w:ascii="Cambria" w:hAnsi="Cambria"/>
          <w:sz w:val="20"/>
          <w:szCs w:val="20"/>
        </w:rPr>
        <w:t>@lfmotol.cuni.cz</w:t>
      </w:r>
      <w:r w:rsidR="00566AC7">
        <w:rPr>
          <w:rFonts w:ascii="Cambria" w:hAnsi="Cambria"/>
          <w:sz w:val="20"/>
          <w:szCs w:val="20"/>
        </w:rPr>
        <w:t>.</w:t>
      </w: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</w:t>
      </w:r>
      <w:proofErr w:type="gramStart"/>
      <w:r w:rsidR="007D5335" w:rsidRPr="004D7EFF">
        <w:rPr>
          <w:rFonts w:ascii="Cambria" w:hAnsi="Cambria"/>
          <w:sz w:val="20"/>
          <w:szCs w:val="20"/>
        </w:rPr>
        <w:t xml:space="preserve">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proofErr w:type="gramEnd"/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07CB36CB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FA4F68">
        <w:rPr>
          <w:rFonts w:ascii="Cambria" w:hAnsi="Cambria"/>
          <w:b/>
          <w:bCs/>
          <w:sz w:val="20"/>
          <w:szCs w:val="20"/>
        </w:rPr>
        <w:t>záruku za jakost zboží v</w:t>
      </w:r>
      <w:r w:rsidR="00566AC7">
        <w:rPr>
          <w:rFonts w:ascii="Cambria" w:hAnsi="Cambria"/>
          <w:b/>
          <w:bCs/>
          <w:sz w:val="20"/>
          <w:szCs w:val="20"/>
        </w:rPr>
        <w:t> </w:t>
      </w:r>
      <w:r w:rsidRPr="00FA4F68">
        <w:rPr>
          <w:rFonts w:ascii="Cambria" w:hAnsi="Cambria"/>
          <w:b/>
          <w:bCs/>
          <w:sz w:val="20"/>
          <w:szCs w:val="20"/>
        </w:rPr>
        <w:t>délce</w:t>
      </w:r>
      <w:r w:rsidR="00566AC7">
        <w:rPr>
          <w:rFonts w:ascii="Cambria" w:hAnsi="Cambria"/>
          <w:b/>
          <w:bCs/>
          <w:sz w:val="20"/>
          <w:szCs w:val="20"/>
        </w:rPr>
        <w:t xml:space="preserve"> 24 </w:t>
      </w:r>
      <w:r w:rsidRPr="00FA4F68">
        <w:rPr>
          <w:rFonts w:ascii="Cambria" w:hAnsi="Cambria"/>
          <w:b/>
          <w:bCs/>
          <w:sz w:val="20"/>
          <w:szCs w:val="20"/>
        </w:rPr>
        <w:t>měsíců – bude doplněno dle nabídky prodávajícího</w:t>
      </w:r>
      <w:r w:rsidRPr="00FA4F68">
        <w:rPr>
          <w:rFonts w:ascii="Cambria" w:hAnsi="Cambria"/>
          <w:i/>
          <w:iCs/>
          <w:sz w:val="20"/>
          <w:szCs w:val="20"/>
        </w:rPr>
        <w:t xml:space="preserve"> (min. požadováno </w:t>
      </w:r>
      <w:r w:rsidR="00E53C41">
        <w:rPr>
          <w:rFonts w:ascii="Cambria" w:hAnsi="Cambria"/>
          <w:i/>
          <w:iCs/>
          <w:sz w:val="20"/>
          <w:szCs w:val="20"/>
        </w:rPr>
        <w:t>24</w:t>
      </w:r>
      <w:r w:rsidRPr="00FA4F68">
        <w:rPr>
          <w:rFonts w:ascii="Cambria" w:hAnsi="Cambria"/>
          <w:i/>
          <w:iCs/>
          <w:sz w:val="20"/>
          <w:szCs w:val="20"/>
        </w:rPr>
        <w:t xml:space="preserve"> měsíců)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lastRenderedPageBreak/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566AC7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 xml:space="preserve">í na níže </w:t>
      </w:r>
      <w:r w:rsidR="00541730" w:rsidRPr="00566AC7">
        <w:rPr>
          <w:rFonts w:ascii="Cambria" w:hAnsi="Cambria"/>
          <w:sz w:val="20"/>
          <w:szCs w:val="20"/>
        </w:rPr>
        <w:t>uvedených kontaktech P</w:t>
      </w:r>
      <w:r w:rsidRPr="00566AC7">
        <w:rPr>
          <w:rFonts w:ascii="Cambria" w:hAnsi="Cambria"/>
          <w:sz w:val="20"/>
          <w:szCs w:val="20"/>
        </w:rPr>
        <w:t>rodávajícího:</w:t>
      </w:r>
    </w:p>
    <w:p w14:paraId="59E167F9" w14:textId="1A0C97DA" w:rsidR="0063120A" w:rsidRPr="00566AC7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 xml:space="preserve">telefon: </w:t>
      </w:r>
      <w:r w:rsidR="009C4C07"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</w:rPr>
        <w:t>220 770 505</w:t>
      </w:r>
    </w:p>
    <w:p w14:paraId="375E9C6A" w14:textId="7C39F9BD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 xml:space="preserve">e-mail: </w:t>
      </w:r>
      <w:r w:rsidR="009C4C07" w:rsidRPr="00566AC7">
        <w:rPr>
          <w:rFonts w:ascii="Cambria" w:hAnsi="Cambria"/>
          <w:sz w:val="20"/>
          <w:szCs w:val="20"/>
        </w:rPr>
        <w:tab/>
      </w:r>
      <w:hyperlink r:id="rId13" w:history="1">
        <w:r w:rsidR="00566AC7" w:rsidRPr="00B84C65">
          <w:rPr>
            <w:rStyle w:val="Hypertextovodkaz"/>
            <w:rFonts w:ascii="Cambria" w:hAnsi="Cambria"/>
            <w:sz w:val="20"/>
          </w:rPr>
          <w:t>servis@sntplus.cz</w:t>
        </w:r>
      </w:hyperlink>
      <w:r w:rsidR="00566AC7">
        <w:rPr>
          <w:rFonts w:ascii="Cambria" w:hAnsi="Cambria"/>
          <w:sz w:val="20"/>
        </w:rPr>
        <w:t xml:space="preserve"> 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 xml:space="preserve">7.  </w:t>
      </w:r>
      <w:r w:rsidR="0063120A" w:rsidRPr="00566AC7">
        <w:rPr>
          <w:rFonts w:ascii="Cambria" w:hAnsi="Cambria"/>
          <w:sz w:val="20"/>
          <w:szCs w:val="20"/>
        </w:rPr>
        <w:t>Prodávající je povinen přev</w:t>
      </w:r>
      <w:r w:rsidR="00541730" w:rsidRPr="00566AC7">
        <w:rPr>
          <w:rFonts w:ascii="Cambria" w:hAnsi="Cambria"/>
          <w:sz w:val="20"/>
          <w:szCs w:val="20"/>
        </w:rPr>
        <w:t>zetí oznámení vady (reklamace) K</w:t>
      </w:r>
      <w:r w:rsidR="0063120A" w:rsidRPr="00566AC7">
        <w:rPr>
          <w:rFonts w:ascii="Cambria" w:hAnsi="Cambria"/>
          <w:sz w:val="20"/>
          <w:szCs w:val="20"/>
        </w:rPr>
        <w:t xml:space="preserve">upujícímu písemně potvrdit do 24 hodin po jejím obdržení na kontaktní e-mailovou adresu </w:t>
      </w:r>
      <w:r w:rsidR="00FA4F68" w:rsidRPr="00566AC7">
        <w:rPr>
          <w:rFonts w:ascii="Cambria" w:hAnsi="Cambria"/>
          <w:sz w:val="20"/>
          <w:szCs w:val="20"/>
        </w:rPr>
        <w:t xml:space="preserve">pan/ paní: </w:t>
      </w:r>
      <w:r w:rsidR="009360AA" w:rsidRPr="00566AC7">
        <w:rPr>
          <w:rFonts w:ascii="Cambria" w:hAnsi="Cambria"/>
          <w:sz w:val="20"/>
          <w:szCs w:val="20"/>
        </w:rPr>
        <w:t>pan/ paní: ………</w:t>
      </w:r>
      <w:proofErr w:type="gramStart"/>
      <w:r w:rsidR="009360AA" w:rsidRPr="00566AC7">
        <w:rPr>
          <w:rFonts w:ascii="Cambria" w:hAnsi="Cambria"/>
          <w:sz w:val="20"/>
          <w:szCs w:val="20"/>
        </w:rPr>
        <w:t>…….</w:t>
      </w:r>
      <w:proofErr w:type="gramEnd"/>
      <w:r w:rsidR="009360AA" w:rsidRPr="00566AC7">
        <w:rPr>
          <w:rFonts w:ascii="Cambria" w:hAnsi="Cambria"/>
          <w:sz w:val="20"/>
          <w:szCs w:val="20"/>
        </w:rPr>
        <w:t xml:space="preserve">, tel.: 257 296 …, e-mail: …. @lfmotol.cuni.cz </w:t>
      </w:r>
      <w:r w:rsidR="009360AA" w:rsidRPr="00566AC7">
        <w:rPr>
          <w:rFonts w:ascii="Cambria" w:hAnsi="Cambria"/>
          <w:i/>
          <w:iCs/>
          <w:sz w:val="20"/>
          <w:szCs w:val="20"/>
        </w:rPr>
        <w:t>(</w:t>
      </w:r>
      <w:hyperlink r:id="rId14" w:history="1">
        <w:r w:rsidR="009360AA" w:rsidRPr="00566AC7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566AC7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 w:rsidRPr="00566AC7">
        <w:rPr>
          <w:rFonts w:ascii="Cambria" w:hAnsi="Cambria"/>
          <w:sz w:val="20"/>
          <w:szCs w:val="20"/>
        </w:rPr>
        <w:t xml:space="preserve"> </w:t>
      </w:r>
      <w:r w:rsidR="0063120A" w:rsidRPr="00566AC7">
        <w:rPr>
          <w:rFonts w:ascii="Cambria" w:hAnsi="Cambria"/>
          <w:sz w:val="20"/>
          <w:szCs w:val="20"/>
        </w:rPr>
        <w:t>Oznámení o vadě je považováno za výzvu k jejímu odstranění, neuplatňuje-li Kupující v oznámení jiný nárok</w:t>
      </w:r>
      <w:r w:rsidR="0063120A" w:rsidRPr="009360AA">
        <w:rPr>
          <w:rFonts w:ascii="Cambria" w:hAnsi="Cambria"/>
          <w:sz w:val="20"/>
          <w:szCs w:val="20"/>
        </w:rPr>
        <w:t>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rodávající. O odstranění vady bude sepsán protokol, který podepíší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</w:t>
      </w:r>
      <w:proofErr w:type="gramStart"/>
      <w:r w:rsidR="009445CB" w:rsidRPr="0026166C">
        <w:rPr>
          <w:rFonts w:ascii="Cambria" w:hAnsi="Cambria"/>
          <w:sz w:val="20"/>
          <w:szCs w:val="20"/>
        </w:rPr>
        <w:t>právo</w:t>
      </w:r>
      <w:proofErr w:type="gramEnd"/>
      <w:r w:rsidR="009445CB" w:rsidRPr="0026166C">
        <w:rPr>
          <w:rFonts w:ascii="Cambria" w:hAnsi="Cambria"/>
          <w:sz w:val="20"/>
          <w:szCs w:val="20"/>
        </w:rPr>
        <w:t xml:space="preserve">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proofErr w:type="spellStart"/>
      <w:r w:rsidR="00C4340E" w:rsidRPr="0026166C">
        <w:rPr>
          <w:rFonts w:ascii="Cambria" w:hAnsi="Cambria"/>
          <w:sz w:val="20"/>
          <w:szCs w:val="20"/>
        </w:rPr>
        <w:t>čl</w:t>
      </w:r>
      <w:proofErr w:type="spellEnd"/>
      <w:r w:rsidR="00C4340E" w:rsidRPr="0026166C">
        <w:rPr>
          <w:rFonts w:ascii="Cambria" w:hAnsi="Cambria"/>
          <w:sz w:val="20"/>
          <w:szCs w:val="20"/>
        </w:rPr>
        <w:t>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53341C7D" w14:textId="77777777" w:rsidR="00566AC7" w:rsidRDefault="00566AC7" w:rsidP="00C4340E">
      <w:pPr>
        <w:jc w:val="both"/>
        <w:rPr>
          <w:rFonts w:ascii="Cambria" w:hAnsi="Cambria"/>
          <w:sz w:val="20"/>
          <w:szCs w:val="20"/>
        </w:rPr>
      </w:pPr>
    </w:p>
    <w:p w14:paraId="55607023" w14:textId="77777777" w:rsidR="00566AC7" w:rsidRDefault="00566AC7" w:rsidP="00C4340E">
      <w:pPr>
        <w:jc w:val="both"/>
        <w:rPr>
          <w:rFonts w:ascii="Cambria" w:hAnsi="Cambria"/>
          <w:sz w:val="20"/>
          <w:szCs w:val="20"/>
        </w:rPr>
      </w:pPr>
    </w:p>
    <w:p w14:paraId="6E6741D4" w14:textId="77777777" w:rsidR="00566AC7" w:rsidRPr="004D7EFF" w:rsidRDefault="00566AC7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lastRenderedPageBreak/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2DD5D44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</w:t>
      </w:r>
      <w:proofErr w:type="gramStart"/>
      <w:r w:rsidR="003E56DB" w:rsidRPr="004D7EFF">
        <w:rPr>
          <w:rFonts w:ascii="Cambria" w:hAnsi="Cambria"/>
          <w:sz w:val="20"/>
          <w:szCs w:val="20"/>
        </w:rPr>
        <w:t xml:space="preserve">výši </w:t>
      </w:r>
      <w:r w:rsidR="00535035" w:rsidRPr="004D7EFF">
        <w:rPr>
          <w:rFonts w:ascii="Cambria" w:hAnsi="Cambria"/>
          <w:sz w:val="20"/>
          <w:szCs w:val="20"/>
        </w:rPr>
        <w:t xml:space="preserve"> </w:t>
      </w:r>
      <w:r w:rsidR="00F05F8C" w:rsidRPr="00FA4F68">
        <w:rPr>
          <w:rFonts w:ascii="Cambria" w:hAnsi="Cambria"/>
          <w:sz w:val="20"/>
          <w:szCs w:val="20"/>
        </w:rPr>
        <w:t>0</w:t>
      </w:r>
      <w:proofErr w:type="gramEnd"/>
      <w:r w:rsidR="00F05F8C" w:rsidRPr="00FA4F68">
        <w:rPr>
          <w:rFonts w:ascii="Cambria" w:hAnsi="Cambria"/>
          <w:sz w:val="20"/>
          <w:szCs w:val="20"/>
        </w:rPr>
        <w:t>,2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71EC27C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proofErr w:type="gramStart"/>
      <w:r w:rsidR="0063120A" w:rsidRPr="00F05F8C">
        <w:rPr>
          <w:rFonts w:ascii="Cambria" w:hAnsi="Cambria"/>
          <w:sz w:val="20"/>
          <w:szCs w:val="20"/>
        </w:rPr>
        <w:t xml:space="preserve">prodlení </w:t>
      </w:r>
      <w:r w:rsidRPr="00F05F8C">
        <w:rPr>
          <w:rFonts w:ascii="Cambria" w:hAnsi="Cambria"/>
          <w:sz w:val="20"/>
          <w:szCs w:val="20"/>
        </w:rPr>
        <w:t> </w:t>
      </w:r>
      <w:r w:rsidR="0063120A" w:rsidRPr="00F05F8C">
        <w:rPr>
          <w:rFonts w:ascii="Cambria" w:hAnsi="Cambria"/>
          <w:sz w:val="20"/>
          <w:szCs w:val="20"/>
        </w:rPr>
        <w:t>s</w:t>
      </w:r>
      <w:proofErr w:type="gramEnd"/>
      <w:r w:rsidR="0063120A" w:rsidRPr="00F05F8C">
        <w:rPr>
          <w:rFonts w:ascii="Cambria" w:hAnsi="Cambria"/>
          <w:sz w:val="20"/>
          <w:szCs w:val="20"/>
        </w:rPr>
        <w:t xml:space="preserve">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</w:t>
      </w:r>
      <w:proofErr w:type="gramStart"/>
      <w:r w:rsidR="004F571F" w:rsidRPr="004D7EFF">
        <w:rPr>
          <w:rFonts w:ascii="Cambria" w:hAnsi="Cambria" w:cs="Calibri"/>
          <w:sz w:val="20"/>
          <w:szCs w:val="20"/>
        </w:rPr>
        <w:t xml:space="preserve">výši </w:t>
      </w:r>
      <w:r w:rsidR="004F571F" w:rsidRPr="00FA4F68">
        <w:rPr>
          <w:rFonts w:ascii="Cambria" w:hAnsi="Cambria" w:cs="Calibri"/>
          <w:sz w:val="20"/>
          <w:szCs w:val="20"/>
        </w:rPr>
        <w:t xml:space="preserve"> </w:t>
      </w:r>
      <w:r w:rsidR="00F05F8C" w:rsidRPr="00FA4F68">
        <w:rPr>
          <w:rFonts w:ascii="Cambria" w:hAnsi="Cambria" w:cs="Calibri"/>
          <w:sz w:val="20"/>
          <w:szCs w:val="20"/>
        </w:rPr>
        <w:t>0</w:t>
      </w:r>
      <w:proofErr w:type="gramEnd"/>
      <w:r w:rsidR="00F05F8C" w:rsidRPr="00FA4F68">
        <w:rPr>
          <w:rFonts w:ascii="Cambria" w:hAnsi="Cambria" w:cs="Calibri"/>
          <w:sz w:val="20"/>
          <w:szCs w:val="20"/>
        </w:rPr>
        <w:t>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1DFBD670" w14:textId="77777777" w:rsidR="00E82E19" w:rsidRDefault="00E82E19" w:rsidP="00E82E19">
      <w:pPr>
        <w:pStyle w:val="Odstavecseseznamem"/>
        <w:rPr>
          <w:rFonts w:ascii="Cambria" w:hAnsi="Cambria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 xml:space="preserve">mlouvy získala od druhé smluvní strany. To neplatí, mají-li být za účelem plnění smlouvy potřebné informace zpřístupněny zaměstnancům, orgánům nebo jejich členům, kteří se podílejí na plnění dle smlouvy za </w:t>
      </w:r>
      <w:r w:rsidRPr="004D7EFF">
        <w:rPr>
          <w:rFonts w:ascii="Cambria" w:hAnsi="Cambria"/>
          <w:sz w:val="20"/>
          <w:szCs w:val="20"/>
        </w:rPr>
        <w:lastRenderedPageBreak/>
        <w:t>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 xml:space="preserve">Bez předchozího písemného souhlasu není příjemce údajů oprávněn přenést na třetí osobu ani část svých povinností týkajících </w:t>
      </w:r>
      <w:proofErr w:type="gramStart"/>
      <w:r w:rsidRPr="00493553">
        <w:rPr>
          <w:rFonts w:ascii="Cambria" w:hAnsi="Cambria"/>
          <w:sz w:val="20"/>
          <w:szCs w:val="20"/>
        </w:rPr>
        <w:t>se</w:t>
      </w:r>
      <w:proofErr w:type="gramEnd"/>
      <w:r w:rsidRPr="00493553">
        <w:rPr>
          <w:rFonts w:ascii="Cambria" w:hAnsi="Cambria"/>
          <w:sz w:val="20"/>
          <w:szCs w:val="20"/>
        </w:rPr>
        <w:t xml:space="preserve">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eastAsia="Calibri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eastAsia="Calibri" w:hAnsi="Cambria" w:cs="Calibri"/>
          <w:sz w:val="20"/>
          <w:szCs w:val="20"/>
        </w:rPr>
        <w:t xml:space="preserve">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proofErr w:type="spellStart"/>
      <w:r w:rsidR="00872C9D" w:rsidRPr="004D7EFF">
        <w:rPr>
          <w:rFonts w:ascii="Cambria" w:hAnsi="Cambria" w:cs="Calibri"/>
          <w:sz w:val="20"/>
          <w:szCs w:val="20"/>
        </w:rPr>
        <w:t>mlouvy</w:t>
      </w:r>
      <w:proofErr w:type="spellEnd"/>
      <w:r w:rsidR="00872C9D" w:rsidRPr="004D7EFF">
        <w:rPr>
          <w:rFonts w:ascii="Cambria" w:hAnsi="Cambria" w:cs="Calibri"/>
          <w:sz w:val="20"/>
          <w:szCs w:val="20"/>
        </w:rPr>
        <w:t xml:space="preserve">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3F9BD2AE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</w:t>
      </w:r>
      <w:r w:rsidR="00566AC7">
        <w:rPr>
          <w:rFonts w:ascii="Cambria" w:hAnsi="Cambria" w:cs="Calibri"/>
          <w:sz w:val="20"/>
          <w:szCs w:val="20"/>
        </w:rPr>
        <w:t xml:space="preserve"> 0</w:t>
      </w:r>
      <w:r w:rsidRPr="00E53C41">
        <w:rPr>
          <w:rFonts w:ascii="Cambria" w:hAnsi="Cambria" w:cs="Calibri"/>
          <w:sz w:val="20"/>
          <w:szCs w:val="20"/>
        </w:rPr>
        <w:t xml:space="preserve"> hodin.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 xml:space="preserve">rodávajícím sepsán podrobný protokol </w:t>
      </w:r>
      <w:r w:rsidRPr="00E53C41">
        <w:rPr>
          <w:rFonts w:ascii="Cambria" w:hAnsi="Cambria" w:cs="Calibri"/>
          <w:sz w:val="20"/>
          <w:szCs w:val="20"/>
        </w:rPr>
        <w:lastRenderedPageBreak/>
        <w:t>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 xml:space="preserve">lnění jeho </w:t>
      </w:r>
      <w:r w:rsidR="008B0A6B">
        <w:rPr>
          <w:rFonts w:ascii="Cambria" w:hAnsi="Cambria"/>
          <w:sz w:val="20"/>
          <w:szCs w:val="20"/>
        </w:rPr>
        <w:lastRenderedPageBreak/>
        <w:t>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>mlouvy učiněné jinou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5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6" w:name="_Hlk114671373"/>
      <w:bookmarkStart w:id="7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5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8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6"/>
      <w:bookmarkEnd w:id="8"/>
      <w:r w:rsidRPr="004D7EFF">
        <w:rPr>
          <w:rFonts w:ascii="Cambria" w:hAnsi="Cambria" w:cs="Calibri"/>
          <w:sz w:val="20"/>
          <w:szCs w:val="20"/>
        </w:rPr>
        <w:t>.</w:t>
      </w:r>
    </w:p>
    <w:bookmarkEnd w:id="7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566AC7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  <w:r w:rsidRPr="00566AC7">
        <w:rPr>
          <w:rFonts w:ascii="Cambria" w:hAnsi="Cambria"/>
          <w:b/>
          <w:sz w:val="20"/>
          <w:szCs w:val="20"/>
        </w:rPr>
        <w:t>Příloha č. 1</w:t>
      </w:r>
      <w:r w:rsidRPr="00566AC7">
        <w:rPr>
          <w:rFonts w:ascii="Cambria" w:hAnsi="Cambria"/>
          <w:sz w:val="20"/>
          <w:szCs w:val="20"/>
        </w:rPr>
        <w:t xml:space="preserve"> – </w:t>
      </w:r>
      <w:r w:rsidR="00183302" w:rsidRPr="00566AC7">
        <w:rPr>
          <w:rFonts w:ascii="Cambria" w:hAnsi="Cambria"/>
          <w:sz w:val="20"/>
          <w:szCs w:val="20"/>
        </w:rPr>
        <w:t>T</w:t>
      </w:r>
      <w:r w:rsidR="00C87AA5" w:rsidRPr="00566AC7">
        <w:rPr>
          <w:rFonts w:ascii="Cambria" w:hAnsi="Cambria"/>
          <w:sz w:val="20"/>
          <w:szCs w:val="20"/>
        </w:rPr>
        <w:t>echnická specifikace předmětu plnění</w:t>
      </w:r>
      <w:r w:rsidR="006B3929" w:rsidRPr="00566AC7">
        <w:rPr>
          <w:rFonts w:ascii="Cambria" w:hAnsi="Cambria"/>
          <w:sz w:val="20"/>
          <w:szCs w:val="20"/>
        </w:rPr>
        <w:t>/technický list</w:t>
      </w:r>
    </w:p>
    <w:p w14:paraId="1DE659E9" w14:textId="57EE261D" w:rsidR="00577E71" w:rsidRPr="00566AC7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</w:rPr>
      </w:pPr>
      <w:r w:rsidRPr="00566AC7">
        <w:rPr>
          <w:rFonts w:ascii="Cambria" w:hAnsi="Cambria"/>
          <w:b/>
          <w:sz w:val="20"/>
          <w:szCs w:val="20"/>
        </w:rPr>
        <w:t>Příloha č. 2</w:t>
      </w:r>
      <w:r w:rsidRPr="00566AC7">
        <w:rPr>
          <w:rFonts w:ascii="Cambria" w:hAnsi="Cambria"/>
          <w:sz w:val="20"/>
          <w:szCs w:val="20"/>
        </w:rPr>
        <w:t xml:space="preserve"> </w:t>
      </w:r>
      <w:proofErr w:type="gramStart"/>
      <w:r w:rsidRPr="00566AC7">
        <w:rPr>
          <w:rFonts w:ascii="Cambria" w:hAnsi="Cambria"/>
          <w:sz w:val="20"/>
          <w:szCs w:val="20"/>
        </w:rPr>
        <w:t>-  Servisní</w:t>
      </w:r>
      <w:proofErr w:type="gramEnd"/>
      <w:r w:rsidRPr="00566AC7">
        <w:rPr>
          <w:rFonts w:ascii="Cambria" w:hAnsi="Cambria"/>
          <w:sz w:val="20"/>
          <w:szCs w:val="20"/>
        </w:rPr>
        <w:t xml:space="preserve"> údržba – počet kontrol a úkony servisní údržby</w:t>
      </w:r>
      <w:r w:rsidR="00BA2BE6" w:rsidRPr="00566AC7">
        <w:rPr>
          <w:rFonts w:ascii="Cambria" w:hAnsi="Cambria"/>
          <w:sz w:val="20"/>
          <w:szCs w:val="20"/>
        </w:rPr>
        <w:t xml:space="preserve"> </w:t>
      </w:r>
      <w:proofErr w:type="spellStart"/>
      <w:r w:rsidR="00577E71" w:rsidRPr="00566AC7">
        <w:rPr>
          <w:rFonts w:ascii="Cambria" w:hAnsi="Cambria"/>
          <w:sz w:val="20"/>
          <w:szCs w:val="20"/>
        </w:rPr>
        <w:t>údržby</w:t>
      </w:r>
      <w:proofErr w:type="spellEnd"/>
      <w:r w:rsidR="00577E71" w:rsidRPr="00566AC7">
        <w:rPr>
          <w:rFonts w:ascii="Cambria" w:hAnsi="Cambria"/>
          <w:sz w:val="20"/>
          <w:szCs w:val="20"/>
        </w:rPr>
        <w:t xml:space="preserve"> </w:t>
      </w:r>
    </w:p>
    <w:p w14:paraId="578D5909" w14:textId="6066D5E2" w:rsidR="00AA171C" w:rsidRPr="00566AC7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642828D3" w14:textId="73B30BCD" w:rsidR="008707AD" w:rsidRPr="00566AC7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36D8BFEB" w14:textId="77777777" w:rsidR="008707AD" w:rsidRPr="00566AC7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</w:rPr>
      </w:pPr>
    </w:p>
    <w:p w14:paraId="62C22342" w14:textId="77777777" w:rsidR="00854582" w:rsidRPr="00566AC7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16C87DDC" w:rsidR="008479E2" w:rsidRDefault="003E56DB" w:rsidP="007B040A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V Praze</w:t>
      </w:r>
      <w:r w:rsidRPr="00566AC7">
        <w:rPr>
          <w:rFonts w:ascii="Cambria" w:hAnsi="Cambria"/>
          <w:sz w:val="20"/>
          <w:szCs w:val="20"/>
        </w:rPr>
        <w:tab/>
      </w:r>
      <w:r w:rsidR="00566AC7">
        <w:rPr>
          <w:rFonts w:ascii="Cambria" w:hAnsi="Cambria"/>
          <w:sz w:val="20"/>
          <w:szCs w:val="20"/>
        </w:rPr>
        <w:t>dne 11. 7. 2025</w:t>
      </w:r>
      <w:r w:rsidR="009C7520" w:rsidRPr="00566AC7">
        <w:rPr>
          <w:rFonts w:ascii="Cambria" w:hAnsi="Cambria"/>
          <w:sz w:val="20"/>
          <w:szCs w:val="20"/>
        </w:rPr>
        <w:tab/>
      </w:r>
      <w:r w:rsidR="009C7520" w:rsidRPr="00566AC7">
        <w:rPr>
          <w:rFonts w:ascii="Cambria" w:hAnsi="Cambria"/>
          <w:sz w:val="20"/>
          <w:szCs w:val="20"/>
        </w:rPr>
        <w:tab/>
      </w:r>
      <w:r w:rsidR="0054572B" w:rsidRPr="00566AC7">
        <w:rPr>
          <w:rFonts w:ascii="Cambria" w:hAnsi="Cambria"/>
          <w:sz w:val="20"/>
          <w:szCs w:val="20"/>
        </w:rPr>
        <w:t xml:space="preserve">   </w:t>
      </w:r>
      <w:r w:rsidR="00B80637" w:rsidRPr="00566AC7">
        <w:rPr>
          <w:rFonts w:ascii="Cambria" w:hAnsi="Cambria"/>
          <w:sz w:val="20"/>
          <w:szCs w:val="20"/>
        </w:rPr>
        <w:tab/>
      </w:r>
      <w:r w:rsidR="00EB13AB" w:rsidRPr="00566AC7">
        <w:rPr>
          <w:rFonts w:ascii="Cambria" w:hAnsi="Cambria"/>
          <w:sz w:val="20"/>
          <w:szCs w:val="20"/>
        </w:rPr>
        <w:tab/>
      </w:r>
      <w:r w:rsidR="00EB13AB" w:rsidRPr="00566AC7">
        <w:rPr>
          <w:rFonts w:ascii="Cambria" w:hAnsi="Cambria"/>
          <w:sz w:val="20"/>
          <w:szCs w:val="20"/>
        </w:rPr>
        <w:tab/>
      </w:r>
      <w:r w:rsidR="00EB13AB" w:rsidRPr="00566AC7">
        <w:rPr>
          <w:rFonts w:ascii="Cambria" w:hAnsi="Cambria"/>
          <w:sz w:val="20"/>
          <w:szCs w:val="20"/>
        </w:rPr>
        <w:tab/>
      </w:r>
      <w:r w:rsidR="005D1C5B" w:rsidRPr="00566AC7">
        <w:rPr>
          <w:rFonts w:ascii="Cambria" w:hAnsi="Cambria"/>
          <w:sz w:val="20"/>
          <w:szCs w:val="20"/>
        </w:rPr>
        <w:t>V</w:t>
      </w:r>
      <w:r w:rsidR="00566AC7">
        <w:rPr>
          <w:rFonts w:ascii="Cambria" w:hAnsi="Cambria"/>
          <w:sz w:val="20"/>
          <w:szCs w:val="20"/>
        </w:rPr>
        <w:t> Praze dne 11. 7. 2025</w:t>
      </w:r>
    </w:p>
    <w:p w14:paraId="712F2C07" w14:textId="4638E6A1" w:rsidR="00566AC7" w:rsidRPr="00566AC7" w:rsidRDefault="00566AC7" w:rsidP="007B040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(dle elektronického podpisu)</w:t>
      </w:r>
    </w:p>
    <w:p w14:paraId="32EEDC8D" w14:textId="108FDA2D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79B1B8BA" w14:textId="3208A33E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106B5C1D" w14:textId="01B98F2B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46B614CD" w14:textId="5248CE72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4E24D151" w14:textId="757EEB76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211C024F" w14:textId="4A914EAA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4383B1EA" w14:textId="77777777" w:rsidR="008707AD" w:rsidRPr="00566AC7" w:rsidRDefault="008707AD" w:rsidP="007B040A">
      <w:pPr>
        <w:rPr>
          <w:rFonts w:ascii="Cambria" w:hAnsi="Cambria"/>
          <w:sz w:val="20"/>
          <w:szCs w:val="20"/>
        </w:rPr>
      </w:pPr>
    </w:p>
    <w:p w14:paraId="3DA34A9D" w14:textId="2D53E2D5" w:rsidR="00432420" w:rsidRPr="00566AC7" w:rsidRDefault="00432420" w:rsidP="007B040A">
      <w:pPr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>......................</w:t>
      </w:r>
      <w:r w:rsidR="00385C19" w:rsidRPr="00566AC7">
        <w:rPr>
          <w:rFonts w:ascii="Cambria" w:hAnsi="Cambria"/>
          <w:sz w:val="20"/>
          <w:szCs w:val="20"/>
        </w:rPr>
        <w:t>...............</w:t>
      </w:r>
      <w:r w:rsidR="009E2395" w:rsidRPr="00566AC7">
        <w:rPr>
          <w:rFonts w:ascii="Cambria" w:hAnsi="Cambria"/>
          <w:sz w:val="20"/>
          <w:szCs w:val="20"/>
        </w:rPr>
        <w:t>................</w:t>
      </w:r>
      <w:r w:rsidR="00087C81" w:rsidRPr="00566AC7">
        <w:rPr>
          <w:rFonts w:ascii="Cambria" w:hAnsi="Cambria"/>
          <w:sz w:val="20"/>
          <w:szCs w:val="20"/>
        </w:rPr>
        <w:t>............</w:t>
      </w:r>
      <w:r w:rsidR="00253ECE" w:rsidRPr="00566AC7">
        <w:rPr>
          <w:rFonts w:ascii="Cambria" w:hAnsi="Cambria"/>
          <w:sz w:val="20"/>
          <w:szCs w:val="20"/>
        </w:rPr>
        <w:t>.....</w:t>
      </w:r>
      <w:r w:rsidR="00087C81" w:rsidRPr="00566AC7">
        <w:rPr>
          <w:rFonts w:ascii="Cambria" w:hAnsi="Cambria"/>
          <w:sz w:val="20"/>
          <w:szCs w:val="20"/>
        </w:rPr>
        <w:t>.</w:t>
      </w:r>
      <w:r w:rsidR="00DA7BA7" w:rsidRPr="00566AC7">
        <w:rPr>
          <w:rFonts w:ascii="Cambria" w:hAnsi="Cambria"/>
          <w:sz w:val="20"/>
          <w:szCs w:val="20"/>
        </w:rPr>
        <w:t>.....</w:t>
      </w:r>
      <w:r w:rsidRPr="00566AC7">
        <w:rPr>
          <w:rFonts w:ascii="Cambria" w:hAnsi="Cambria"/>
          <w:sz w:val="20"/>
          <w:szCs w:val="20"/>
        </w:rPr>
        <w:t xml:space="preserve">                  </w:t>
      </w:r>
      <w:r w:rsidR="004821CB" w:rsidRPr="00566AC7">
        <w:rPr>
          <w:rFonts w:ascii="Cambria" w:hAnsi="Cambria"/>
          <w:sz w:val="20"/>
          <w:szCs w:val="20"/>
        </w:rPr>
        <w:t xml:space="preserve">         </w:t>
      </w:r>
      <w:r w:rsidR="00C430F8" w:rsidRPr="00566AC7">
        <w:rPr>
          <w:rFonts w:ascii="Cambria" w:hAnsi="Cambria"/>
          <w:sz w:val="20"/>
          <w:szCs w:val="20"/>
        </w:rPr>
        <w:t xml:space="preserve">   </w:t>
      </w:r>
      <w:r w:rsidR="0090455D" w:rsidRPr="00566AC7">
        <w:rPr>
          <w:rFonts w:ascii="Cambria" w:hAnsi="Cambria"/>
          <w:sz w:val="20"/>
          <w:szCs w:val="20"/>
        </w:rPr>
        <w:tab/>
      </w:r>
      <w:r w:rsidR="0090455D" w:rsidRPr="00566AC7">
        <w:rPr>
          <w:rFonts w:ascii="Cambria" w:hAnsi="Cambria"/>
          <w:sz w:val="20"/>
          <w:szCs w:val="20"/>
        </w:rPr>
        <w:tab/>
      </w:r>
      <w:r w:rsidR="0054572B" w:rsidRPr="00566AC7">
        <w:rPr>
          <w:rFonts w:ascii="Cambria" w:hAnsi="Cambria"/>
          <w:sz w:val="20"/>
          <w:szCs w:val="20"/>
        </w:rPr>
        <w:t>………………………………………</w:t>
      </w:r>
      <w:r w:rsidR="00087C81" w:rsidRPr="00566AC7">
        <w:rPr>
          <w:rFonts w:ascii="Cambria" w:hAnsi="Cambria"/>
          <w:sz w:val="20"/>
          <w:szCs w:val="20"/>
        </w:rPr>
        <w:t>……</w:t>
      </w:r>
      <w:r w:rsidR="00253ECE" w:rsidRPr="00566AC7">
        <w:rPr>
          <w:rFonts w:ascii="Cambria" w:hAnsi="Cambria"/>
          <w:sz w:val="20"/>
          <w:szCs w:val="20"/>
        </w:rPr>
        <w:t>……………</w:t>
      </w:r>
    </w:p>
    <w:p w14:paraId="3C724665" w14:textId="30D69135" w:rsidR="0054572B" w:rsidRPr="00566AC7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 w:rsidRPr="00566AC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566AC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</w:t>
      </w:r>
      <w:proofErr w:type="spellStart"/>
      <w:r w:rsidR="0090455D" w:rsidRPr="00566AC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Babjuk</w:t>
      </w:r>
      <w:proofErr w:type="spellEnd"/>
      <w:r w:rsidR="0090455D" w:rsidRPr="00566AC7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, CSc. </w:t>
      </w:r>
      <w:r w:rsidR="0054572B" w:rsidRPr="00566AC7">
        <w:rPr>
          <w:rFonts w:ascii="Cambria" w:hAnsi="Cambria"/>
          <w:sz w:val="20"/>
          <w:szCs w:val="20"/>
        </w:rPr>
        <w:tab/>
      </w:r>
      <w:r w:rsidR="00B80637" w:rsidRPr="00566AC7">
        <w:rPr>
          <w:rFonts w:ascii="Cambria" w:hAnsi="Cambria"/>
          <w:sz w:val="20"/>
          <w:szCs w:val="20"/>
        </w:rPr>
        <w:tab/>
      </w:r>
      <w:r w:rsidRPr="00566AC7">
        <w:rPr>
          <w:rFonts w:ascii="Cambria" w:hAnsi="Cambria"/>
          <w:sz w:val="20"/>
          <w:szCs w:val="20"/>
        </w:rPr>
        <w:t xml:space="preserve">                                     </w:t>
      </w:r>
      <w:r w:rsidR="00B84B84">
        <w:rPr>
          <w:rFonts w:ascii="Cambria" w:hAnsi="Cambria"/>
          <w:sz w:val="20"/>
          <w:szCs w:val="20"/>
        </w:rPr>
        <w:t xml:space="preserve">Ing. Ludvík </w:t>
      </w:r>
      <w:proofErr w:type="spellStart"/>
      <w:r w:rsidR="00B84B84">
        <w:rPr>
          <w:rFonts w:ascii="Cambria" w:hAnsi="Cambria"/>
          <w:sz w:val="20"/>
          <w:szCs w:val="20"/>
        </w:rPr>
        <w:t>Tót</w:t>
      </w:r>
      <w:proofErr w:type="spellEnd"/>
    </w:p>
    <w:p w14:paraId="070376F9" w14:textId="170A169B" w:rsidR="00AC456F" w:rsidRPr="00566AC7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566AC7">
        <w:rPr>
          <w:rFonts w:ascii="Cambria" w:hAnsi="Cambria"/>
          <w:sz w:val="20"/>
          <w:szCs w:val="20"/>
        </w:rPr>
        <w:t xml:space="preserve">                            </w:t>
      </w:r>
      <w:r w:rsidR="004821CB" w:rsidRPr="00566AC7">
        <w:rPr>
          <w:rFonts w:ascii="Cambria" w:hAnsi="Cambria"/>
          <w:sz w:val="20"/>
          <w:szCs w:val="20"/>
        </w:rPr>
        <w:t xml:space="preserve">děkan </w:t>
      </w:r>
      <w:r w:rsidR="00432420" w:rsidRPr="00566AC7">
        <w:rPr>
          <w:rFonts w:ascii="Cambria" w:hAnsi="Cambria"/>
          <w:sz w:val="20"/>
          <w:szCs w:val="20"/>
        </w:rPr>
        <w:t xml:space="preserve">        </w:t>
      </w:r>
      <w:r w:rsidR="00B80637" w:rsidRPr="00566AC7">
        <w:rPr>
          <w:rFonts w:ascii="Cambria" w:hAnsi="Cambria"/>
          <w:sz w:val="20"/>
          <w:szCs w:val="20"/>
        </w:rPr>
        <w:t xml:space="preserve">              </w:t>
      </w:r>
      <w:r w:rsidR="009F04ED" w:rsidRPr="00566AC7">
        <w:rPr>
          <w:rFonts w:ascii="Cambria" w:hAnsi="Cambria"/>
          <w:sz w:val="20"/>
          <w:szCs w:val="20"/>
        </w:rPr>
        <w:tab/>
      </w:r>
      <w:r w:rsidRPr="00566AC7"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B84B84">
        <w:rPr>
          <w:rFonts w:ascii="Cambria" w:hAnsi="Cambria"/>
          <w:sz w:val="20"/>
          <w:szCs w:val="20"/>
        </w:rPr>
        <w:t>jednatel</w:t>
      </w:r>
    </w:p>
    <w:p w14:paraId="2AF7DF9D" w14:textId="1537593C" w:rsidR="00B479F2" w:rsidRPr="00B84B84" w:rsidRDefault="00DA7BA7" w:rsidP="00577E71">
      <w:pPr>
        <w:tabs>
          <w:tab w:val="left" w:pos="4536"/>
        </w:tabs>
        <w:rPr>
          <w:rFonts w:ascii="Cambria" w:hAnsi="Cambria"/>
          <w:b/>
          <w:bCs/>
          <w:sz w:val="20"/>
          <w:szCs w:val="20"/>
        </w:rPr>
      </w:pPr>
      <w:r w:rsidRPr="00566AC7">
        <w:rPr>
          <w:rFonts w:ascii="Cambria" w:hAnsi="Cambria"/>
          <w:b/>
          <w:sz w:val="20"/>
          <w:szCs w:val="20"/>
        </w:rPr>
        <w:t>2. lékařské fakulty Univerzity Karlovy</w:t>
      </w:r>
      <w:r w:rsidRPr="00566AC7">
        <w:rPr>
          <w:rFonts w:ascii="Cambria" w:hAnsi="Cambria"/>
          <w:b/>
          <w:sz w:val="20"/>
        </w:rPr>
        <w:t xml:space="preserve">                                                                  </w:t>
      </w:r>
      <w:r w:rsidRPr="00566AC7">
        <w:rPr>
          <w:rFonts w:ascii="Cambria" w:hAnsi="Cambria"/>
          <w:sz w:val="20"/>
          <w:szCs w:val="20"/>
        </w:rPr>
        <w:t xml:space="preserve">   </w:t>
      </w:r>
      <w:r w:rsidR="00B84B84">
        <w:rPr>
          <w:rFonts w:ascii="Cambria" w:hAnsi="Cambria"/>
          <w:b/>
          <w:bCs/>
          <w:sz w:val="20"/>
          <w:szCs w:val="20"/>
        </w:rPr>
        <w:t>SNT Plus s.r.o.</w:t>
      </w:r>
    </w:p>
    <w:sectPr w:rsidR="00B479F2" w:rsidRPr="00B84B84" w:rsidSect="00A167FC">
      <w:headerReference w:type="even" r:id="rId15"/>
      <w:headerReference w:type="default" r:id="rId16"/>
      <w:footerReference w:type="even" r:id="rId17"/>
      <w:footerReference w:type="default" r:id="rId18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D72AE" w14:textId="77777777" w:rsidR="005D7E2D" w:rsidRDefault="005D7E2D">
      <w:r>
        <w:separator/>
      </w:r>
    </w:p>
  </w:endnote>
  <w:endnote w:type="continuationSeparator" w:id="0">
    <w:p w14:paraId="753F6599" w14:textId="77777777" w:rsidR="005D7E2D" w:rsidRDefault="005D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8B144" w14:textId="77777777" w:rsidR="005D7E2D" w:rsidRDefault="005D7E2D">
      <w:bookmarkStart w:id="0" w:name="_Hlk165901091"/>
      <w:bookmarkEnd w:id="0"/>
      <w:r>
        <w:separator/>
      </w:r>
    </w:p>
  </w:footnote>
  <w:footnote w:type="continuationSeparator" w:id="0">
    <w:p w14:paraId="14F6A6CA" w14:textId="77777777" w:rsidR="005D7E2D" w:rsidRDefault="005D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411">
    <w:abstractNumId w:val="23"/>
  </w:num>
  <w:num w:numId="2" w16cid:durableId="1662807897">
    <w:abstractNumId w:val="2"/>
  </w:num>
  <w:num w:numId="3" w16cid:durableId="84811936">
    <w:abstractNumId w:val="24"/>
  </w:num>
  <w:num w:numId="4" w16cid:durableId="2001080292">
    <w:abstractNumId w:val="27"/>
  </w:num>
  <w:num w:numId="5" w16cid:durableId="1475414749">
    <w:abstractNumId w:val="18"/>
  </w:num>
  <w:num w:numId="6" w16cid:durableId="1112633283">
    <w:abstractNumId w:val="20"/>
  </w:num>
  <w:num w:numId="7" w16cid:durableId="425348294">
    <w:abstractNumId w:val="17"/>
  </w:num>
  <w:num w:numId="8" w16cid:durableId="38484118">
    <w:abstractNumId w:val="19"/>
  </w:num>
  <w:num w:numId="9" w16cid:durableId="999235802">
    <w:abstractNumId w:val="25"/>
  </w:num>
  <w:num w:numId="10" w16cid:durableId="1245067757">
    <w:abstractNumId w:val="4"/>
  </w:num>
  <w:num w:numId="11" w16cid:durableId="2085760406">
    <w:abstractNumId w:val="10"/>
  </w:num>
  <w:num w:numId="12" w16cid:durableId="1871647003">
    <w:abstractNumId w:val="8"/>
  </w:num>
  <w:num w:numId="13" w16cid:durableId="605432521">
    <w:abstractNumId w:val="3"/>
  </w:num>
  <w:num w:numId="14" w16cid:durableId="1177816601">
    <w:abstractNumId w:val="16"/>
  </w:num>
  <w:num w:numId="15" w16cid:durableId="1103841438">
    <w:abstractNumId w:val="6"/>
  </w:num>
  <w:num w:numId="16" w16cid:durableId="1890720787">
    <w:abstractNumId w:val="9"/>
  </w:num>
  <w:num w:numId="17" w16cid:durableId="27687630">
    <w:abstractNumId w:val="11"/>
  </w:num>
  <w:num w:numId="18" w16cid:durableId="333534014">
    <w:abstractNumId w:val="13"/>
  </w:num>
  <w:num w:numId="19" w16cid:durableId="509948278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AAB"/>
    <w:rsid w:val="00336B9A"/>
    <w:rsid w:val="00337030"/>
    <w:rsid w:val="00337B63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AC7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D7E2D"/>
    <w:rsid w:val="005E50B8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6C20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84"/>
    <w:rsid w:val="00B84BB2"/>
    <w:rsid w:val="00B84BF4"/>
    <w:rsid w:val="00B84F65"/>
    <w:rsid w:val="00B8515F"/>
    <w:rsid w:val="00B864AA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EC3"/>
    <w:rsid w:val="00F85051"/>
    <w:rsid w:val="00F87B72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s@sntplus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f2.cuni.cz/klinika-anesteziologie-resuscitace-intenzivni-medicin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(vypln&#237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4460</Words>
  <Characters>26319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30718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2</cp:revision>
  <cp:lastPrinted>2024-03-14T07:08:00Z</cp:lastPrinted>
  <dcterms:created xsi:type="dcterms:W3CDTF">2025-07-14T13:21:00Z</dcterms:created>
  <dcterms:modified xsi:type="dcterms:W3CDTF">2025-07-14T13:21:00Z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