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6A235B25"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sidR="004E449A" w:rsidRPr="004E449A">
        <w:rPr>
          <w:rFonts w:ascii="Garamond" w:hAnsi="Garamond" w:cs="Arial"/>
          <w:bCs/>
          <w:color w:val="000000"/>
        </w:rPr>
        <w:t>Statické zajištění fasády a cihelného zdiva ve 3.NP, demontáž střešní krytiny  objektu Radniční 23/1, Okresní soud v Děčíně</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77B6B4E3" w:rsidR="002F755B" w:rsidRPr="00604F5D" w:rsidRDefault="00891242" w:rsidP="002F755B">
      <w:pPr>
        <w:pStyle w:val="nadpis-bod"/>
        <w:spacing w:before="0" w:after="0"/>
        <w:rPr>
          <w:rFonts w:ascii="Garamond" w:hAnsi="Garamond" w:cs="Arial"/>
          <w:b w:val="0"/>
          <w:bCs/>
          <w:szCs w:val="24"/>
        </w:rPr>
      </w:pPr>
      <w:r w:rsidRPr="00891242">
        <w:rPr>
          <w:rFonts w:ascii="Garamond" w:hAnsi="Garamond" w:cs="Arial"/>
          <w:b w:val="0"/>
          <w:bCs/>
          <w:szCs w:val="24"/>
          <w:highlight w:val="black"/>
        </w:rPr>
        <w:t>xxxxxxxxxxxxxx</w:t>
      </w:r>
      <w:r w:rsidR="002F755B">
        <w:rPr>
          <w:rFonts w:ascii="Garamond" w:hAnsi="Garamond" w:cs="Arial"/>
          <w:b w:val="0"/>
          <w:bCs/>
          <w:szCs w:val="24"/>
        </w:rPr>
        <w:t xml:space="preserve">, předsedou </w:t>
      </w:r>
      <w:r w:rsidR="002C1082">
        <w:rPr>
          <w:rFonts w:ascii="Garamond" w:hAnsi="Garamond" w:cs="Arial"/>
          <w:b w:val="0"/>
          <w:bCs/>
          <w:szCs w:val="24"/>
        </w:rPr>
        <w:t xml:space="preserve">okresního </w:t>
      </w:r>
      <w:r w:rsidR="002F755B">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08883FD0"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4808CB" w:rsidRPr="004808CB">
        <w:rPr>
          <w:rFonts w:ascii="Garamond" w:hAnsi="Garamond" w:cs="Arial"/>
          <w:b w:val="0"/>
          <w:bCs/>
          <w:szCs w:val="24"/>
          <w:highlight w:val="black"/>
        </w:rPr>
        <w:t>xxxxxxxxxxxx</w:t>
      </w:r>
    </w:p>
    <w:p w14:paraId="516CB58E" w14:textId="7328567E" w:rsidR="004808CB" w:rsidRDefault="004808CB" w:rsidP="002F755B">
      <w:pPr>
        <w:pStyle w:val="nadpis-bod"/>
        <w:spacing w:before="0" w:after="0"/>
        <w:rPr>
          <w:rFonts w:ascii="Garamond" w:hAnsi="Garamond" w:cs="Arial"/>
          <w:b w:val="0"/>
          <w:bCs/>
          <w:szCs w:val="24"/>
        </w:rPr>
      </w:pPr>
      <w:r w:rsidRPr="004808CB">
        <w:rPr>
          <w:rFonts w:ascii="Garamond" w:hAnsi="Garamond" w:cs="Arial"/>
          <w:b w:val="0"/>
          <w:bCs/>
          <w:szCs w:val="24"/>
          <w:highlight w:val="black"/>
        </w:rPr>
        <w:t>xxxxxxxxxxxx</w:t>
      </w:r>
    </w:p>
    <w:p w14:paraId="7576B6E2" w14:textId="37C1C98B" w:rsidR="002F755B" w:rsidRPr="00604F5D" w:rsidRDefault="00891242" w:rsidP="002F755B">
      <w:pPr>
        <w:pStyle w:val="nadpis-bod"/>
        <w:spacing w:before="0" w:after="0"/>
        <w:rPr>
          <w:rFonts w:ascii="Garamond" w:hAnsi="Garamond" w:cs="Arial"/>
          <w:b w:val="0"/>
          <w:bCs/>
          <w:szCs w:val="24"/>
        </w:rPr>
      </w:pPr>
      <w:r w:rsidRPr="00891242">
        <w:rPr>
          <w:rFonts w:ascii="Garamond" w:hAnsi="Garamond" w:cs="Arial"/>
          <w:b w:val="0"/>
          <w:bCs/>
          <w:szCs w:val="24"/>
          <w:highlight w:val="black"/>
        </w:rPr>
        <w:t>xxxxxxxxxx</w:t>
      </w:r>
      <w:r w:rsidR="002F755B">
        <w:rPr>
          <w:rFonts w:ascii="Garamond" w:hAnsi="Garamond" w:cs="Arial"/>
          <w:b w:val="0"/>
          <w:bCs/>
          <w:szCs w:val="24"/>
        </w:rPr>
        <w:t>@</w:t>
      </w:r>
      <w:r w:rsidRPr="00891242">
        <w:rPr>
          <w:rFonts w:ascii="Garamond" w:hAnsi="Garamond" w:cs="Arial"/>
          <w:b w:val="0"/>
          <w:bCs/>
          <w:szCs w:val="24"/>
          <w:highlight w:val="black"/>
        </w:rPr>
        <w:t>xxxxxxxxxxxxxxxx</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18039222" w:rsidR="002225E3" w:rsidRPr="004619E0" w:rsidRDefault="00035B9A" w:rsidP="002225E3">
      <w:pPr>
        <w:pStyle w:val="nadpis-bod"/>
        <w:spacing w:before="120" w:after="0"/>
        <w:rPr>
          <w:rFonts w:ascii="Garamond" w:hAnsi="Garamond" w:cs="Arial"/>
          <w:bCs/>
          <w:szCs w:val="24"/>
        </w:rPr>
      </w:pPr>
      <w:r>
        <w:rPr>
          <w:rFonts w:ascii="Garamond" w:hAnsi="Garamond"/>
          <w:bCs/>
        </w:rPr>
        <w:t>JKONSTRUKT s.r.o.</w:t>
      </w:r>
    </w:p>
    <w:p w14:paraId="36AE34D0" w14:textId="3DAAFC5F" w:rsidR="002225E3" w:rsidRDefault="00035B9A" w:rsidP="002225E3">
      <w:pPr>
        <w:pStyle w:val="nadpis-bod"/>
        <w:spacing w:before="0" w:after="0"/>
        <w:rPr>
          <w:rFonts w:ascii="Garamond" w:hAnsi="Garamond" w:cs="Arial"/>
          <w:b w:val="0"/>
          <w:bCs/>
          <w:szCs w:val="24"/>
        </w:rPr>
      </w:pPr>
      <w:r>
        <w:rPr>
          <w:rFonts w:ascii="Garamond" w:hAnsi="Garamond"/>
          <w:b w:val="0"/>
        </w:rPr>
        <w:t>Veleslavínova 1941/3, 400 01 Ústí nad Labem</w:t>
      </w:r>
    </w:p>
    <w:p w14:paraId="542CDB9D" w14:textId="5ED2FBE0" w:rsidR="002225E3"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w:t>
      </w:r>
      <w:r w:rsidR="00035B9A">
        <w:rPr>
          <w:rFonts w:ascii="Garamond" w:hAnsi="Garamond" w:cs="Arial"/>
          <w:b w:val="0"/>
          <w:bCs/>
          <w:szCs w:val="24"/>
        </w:rPr>
        <w:t>K</w:t>
      </w:r>
      <w:r w:rsidR="00035B9A">
        <w:rPr>
          <w:rFonts w:ascii="Garamond" w:hAnsi="Garamond"/>
          <w:b w:val="0"/>
        </w:rPr>
        <w:t>rajským soudem v Ústí nad Labem</w:t>
      </w:r>
      <w:r>
        <w:rPr>
          <w:rFonts w:ascii="Garamond" w:hAnsi="Garamond" w:cs="Arial"/>
          <w:b w:val="0"/>
          <w:bCs/>
          <w:szCs w:val="24"/>
        </w:rPr>
        <w:t xml:space="preserve"> pod spisovou značkou </w:t>
      </w:r>
      <w:r w:rsidR="00035B9A">
        <w:rPr>
          <w:rFonts w:ascii="Garamond" w:hAnsi="Garamond"/>
          <w:b w:val="0"/>
        </w:rPr>
        <w:t>C 24223</w:t>
      </w:r>
    </w:p>
    <w:p w14:paraId="57F1FDE2" w14:textId="1477C546" w:rsidR="002225E3" w:rsidRDefault="00891242" w:rsidP="002225E3">
      <w:pPr>
        <w:pStyle w:val="nadpis-bod"/>
        <w:spacing w:before="0" w:after="0"/>
        <w:rPr>
          <w:rFonts w:ascii="Garamond" w:hAnsi="Garamond" w:cs="Arial"/>
          <w:b w:val="0"/>
          <w:bCs/>
          <w:szCs w:val="24"/>
        </w:rPr>
      </w:pPr>
      <w:r w:rsidRPr="00891242">
        <w:rPr>
          <w:rFonts w:ascii="Garamond" w:hAnsi="Garamond" w:cs="Arial"/>
          <w:b w:val="0"/>
          <w:bCs/>
          <w:szCs w:val="24"/>
          <w:highlight w:val="black"/>
        </w:rPr>
        <w:t>xxxxxxxxxxxxxxxxxx</w:t>
      </w:r>
      <w:r w:rsidR="002225E3">
        <w:rPr>
          <w:rFonts w:ascii="Garamond" w:hAnsi="Garamond" w:cs="Arial"/>
          <w:b w:val="0"/>
          <w:bCs/>
          <w:szCs w:val="24"/>
        </w:rPr>
        <w:t xml:space="preserve">, </w:t>
      </w:r>
      <w:r w:rsidR="00035B9A">
        <w:rPr>
          <w:rFonts w:ascii="Garamond" w:hAnsi="Garamond" w:cs="Arial"/>
          <w:b w:val="0"/>
          <w:bCs/>
          <w:szCs w:val="24"/>
        </w:rPr>
        <w:t>jednatelkou společnosti</w:t>
      </w:r>
    </w:p>
    <w:p w14:paraId="79A5BDDC" w14:textId="628A4F54" w:rsidR="004619E0" w:rsidRDefault="00F21808" w:rsidP="002225E3">
      <w:pPr>
        <w:pStyle w:val="nadpis-bod"/>
        <w:spacing w:before="0" w:after="0"/>
        <w:rPr>
          <w:rFonts w:ascii="Garamond" w:hAnsi="Garamond"/>
          <w:b w:val="0"/>
        </w:rPr>
      </w:pPr>
      <w:r>
        <w:rPr>
          <w:rFonts w:ascii="Garamond" w:hAnsi="Garamond"/>
          <w:b w:val="0"/>
        </w:rPr>
        <w:t>02132010</w:t>
      </w:r>
    </w:p>
    <w:p w14:paraId="66719D4D" w14:textId="219A4A4E" w:rsidR="002225E3" w:rsidRDefault="00F21808" w:rsidP="002225E3">
      <w:pPr>
        <w:pStyle w:val="nadpis-bod"/>
        <w:spacing w:before="0" w:after="0"/>
        <w:rPr>
          <w:rFonts w:ascii="Garamond" w:hAnsi="Garamond" w:cs="Arial"/>
          <w:b w:val="0"/>
          <w:bCs/>
          <w:szCs w:val="24"/>
        </w:rPr>
      </w:pPr>
      <w:r>
        <w:rPr>
          <w:rFonts w:ascii="Garamond" w:hAnsi="Garamond"/>
          <w:b w:val="0"/>
        </w:rPr>
        <w:t>není plátce</w:t>
      </w:r>
    </w:p>
    <w:p w14:paraId="2FAC80E5" w14:textId="517F086E" w:rsidR="002225E3" w:rsidRDefault="00F21808" w:rsidP="002225E3">
      <w:pPr>
        <w:pStyle w:val="nadpis-bod"/>
        <w:spacing w:before="0" w:after="0"/>
        <w:rPr>
          <w:rFonts w:ascii="Garamond" w:hAnsi="Garamond" w:cs="Arial"/>
          <w:b w:val="0"/>
          <w:bCs/>
          <w:szCs w:val="24"/>
        </w:rPr>
      </w:pPr>
      <w:r>
        <w:rPr>
          <w:rFonts w:ascii="Garamond" w:hAnsi="Garamond"/>
          <w:b w:val="0"/>
        </w:rPr>
        <w:t>Česká spořitelna, a.s.</w:t>
      </w:r>
      <w:r w:rsidR="002225E3">
        <w:rPr>
          <w:rFonts w:ascii="Garamond" w:hAnsi="Garamond" w:cs="Arial"/>
          <w:b w:val="0"/>
          <w:bCs/>
          <w:szCs w:val="24"/>
        </w:rPr>
        <w:t xml:space="preserve"> - číslo účtu: </w:t>
      </w:r>
      <w:r w:rsidR="004808CB" w:rsidRPr="004808CB">
        <w:rPr>
          <w:rFonts w:ascii="Garamond" w:hAnsi="Garamond" w:cs="Arial"/>
          <w:b w:val="0"/>
          <w:bCs/>
          <w:szCs w:val="24"/>
          <w:highlight w:val="black"/>
        </w:rPr>
        <w:t>xxxxxxxxxxxxxxxx</w:t>
      </w:r>
    </w:p>
    <w:p w14:paraId="07D99694" w14:textId="7605C421" w:rsidR="002225E3" w:rsidRDefault="004808CB" w:rsidP="002225E3">
      <w:pPr>
        <w:pStyle w:val="nadpis-bod"/>
        <w:spacing w:before="0" w:after="0"/>
        <w:rPr>
          <w:rFonts w:ascii="Garamond" w:hAnsi="Garamond" w:cs="Arial"/>
          <w:b w:val="0"/>
          <w:bCs/>
          <w:szCs w:val="24"/>
        </w:rPr>
      </w:pPr>
      <w:r w:rsidRPr="004808CB">
        <w:rPr>
          <w:rFonts w:ascii="Garamond" w:hAnsi="Garamond" w:cs="Arial"/>
          <w:b w:val="0"/>
          <w:bCs/>
          <w:szCs w:val="24"/>
          <w:highlight w:val="black"/>
        </w:rPr>
        <w:t>xxxxxxxxx</w:t>
      </w:r>
    </w:p>
    <w:p w14:paraId="417266E2" w14:textId="3C4C32B8" w:rsidR="002225E3" w:rsidRDefault="00891242" w:rsidP="002225E3">
      <w:pPr>
        <w:pStyle w:val="nadpis-bod"/>
        <w:spacing w:before="0" w:after="0"/>
        <w:rPr>
          <w:rFonts w:ascii="Garamond" w:hAnsi="Garamond" w:cs="Arial"/>
          <w:b w:val="0"/>
          <w:bCs/>
          <w:szCs w:val="24"/>
        </w:rPr>
      </w:pPr>
      <w:r w:rsidRPr="00891242">
        <w:rPr>
          <w:rFonts w:ascii="Garamond" w:hAnsi="Garamond"/>
          <w:b w:val="0"/>
          <w:highlight w:val="black"/>
        </w:rPr>
        <w:t>xxxxxxxxxxx</w:t>
      </w:r>
      <w:r>
        <w:rPr>
          <w:rFonts w:ascii="Garamond" w:hAnsi="Garamond"/>
          <w:b w:val="0"/>
        </w:rPr>
        <w:t>@</w:t>
      </w:r>
      <w:r w:rsidRPr="00891242">
        <w:rPr>
          <w:rFonts w:ascii="Garamond" w:hAnsi="Garamond"/>
          <w:b w:val="0"/>
          <w:highlight w:val="black"/>
        </w:rPr>
        <w:t>xxxxxxxxxxxxxx</w:t>
      </w:r>
    </w:p>
    <w:p w14:paraId="5CE1D201" w14:textId="4BF1080E" w:rsidR="002225E3" w:rsidRPr="006D0B5F" w:rsidRDefault="00F21808" w:rsidP="002225E3">
      <w:pPr>
        <w:pStyle w:val="nadpis-bod"/>
        <w:spacing w:before="0" w:after="0"/>
        <w:rPr>
          <w:rFonts w:ascii="Garamond" w:hAnsi="Garamond" w:cs="Arial"/>
          <w:b w:val="0"/>
          <w:bCs/>
          <w:szCs w:val="24"/>
        </w:rPr>
      </w:pPr>
      <w:r>
        <w:rPr>
          <w:rFonts w:ascii="Garamond" w:hAnsi="Garamond"/>
          <w:b w:val="0"/>
        </w:rPr>
        <w:t>kxu2tsy</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3EC9A5E2"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 v</w:t>
      </w:r>
      <w:r w:rsidR="00702D7A">
        <w:rPr>
          <w:rFonts w:ascii="Garamond" w:hAnsi="Garamond"/>
        </w:rPr>
        <w:t> </w:t>
      </w:r>
      <w:r w:rsidR="002F755B">
        <w:rPr>
          <w:rFonts w:ascii="Garamond" w:hAnsi="Garamond"/>
        </w:rPr>
        <w:t>zad</w:t>
      </w:r>
      <w:r w:rsidR="00702D7A">
        <w:rPr>
          <w:rFonts w:ascii="Garamond" w:hAnsi="Garamond"/>
        </w:rPr>
        <w:t>ávacím (otevřeném) řízení</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 xml:space="preserve">uvedeném </w:t>
      </w:r>
      <w:r w:rsidR="00C9459A" w:rsidRPr="00FA75D2">
        <w:rPr>
          <w:rFonts w:ascii="Garamond" w:hAnsi="Garamond"/>
        </w:rPr>
        <w:t>v přílo</w:t>
      </w:r>
      <w:r w:rsidR="00FA75D2" w:rsidRPr="00FA75D2">
        <w:rPr>
          <w:rFonts w:ascii="Garamond" w:hAnsi="Garamond"/>
        </w:rPr>
        <w:t>ze</w:t>
      </w:r>
      <w:r w:rsidR="00C9459A" w:rsidRPr="00FA75D2">
        <w:rPr>
          <w:rFonts w:ascii="Garamond" w:hAnsi="Garamond"/>
        </w:rPr>
        <w:t xml:space="preserve"> </w:t>
      </w:r>
      <w:r w:rsidR="00C9459A">
        <w:rPr>
          <w:rFonts w:ascii="Garamond" w:hAnsi="Garamond"/>
        </w:rPr>
        <w:t>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6EBE232D"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w:t>
      </w:r>
      <w:r w:rsidR="00FA75D2">
        <w:rPr>
          <w:rFonts w:ascii="Garamond" w:hAnsi="Garamond"/>
        </w:rPr>
        <w:t xml:space="preserve"> a</w:t>
      </w:r>
      <w:r w:rsidRPr="00066045">
        <w:rPr>
          <w:rFonts w:ascii="Garamond" w:hAnsi="Garamond"/>
        </w:rPr>
        <w:t xml:space="preserve"> obecně závazn</w:t>
      </w:r>
      <w:r w:rsidR="00462F6E">
        <w:rPr>
          <w:rFonts w:ascii="Garamond" w:hAnsi="Garamond"/>
        </w:rPr>
        <w:t>ý</w:t>
      </w:r>
      <w:r w:rsidRPr="00066045">
        <w:rPr>
          <w:rFonts w:ascii="Garamond" w:hAnsi="Garamond"/>
        </w:rPr>
        <w:t xml:space="preserve">ch právních předpisů </w:t>
      </w:r>
      <w:r w:rsidR="00FA75D2">
        <w:rPr>
          <w:rFonts w:ascii="Garamond" w:hAnsi="Garamond"/>
        </w:rPr>
        <w:t xml:space="preserve">ve </w:t>
      </w:r>
      <w:r w:rsidR="002B4EA4" w:rsidRPr="00066045">
        <w:rPr>
          <w:rFonts w:ascii="Garamond" w:hAnsi="Garamond"/>
        </w:rPr>
        <w:t>veřejn</w:t>
      </w:r>
      <w:r w:rsidR="00FA75D2">
        <w:rPr>
          <w:rFonts w:ascii="Garamond" w:hAnsi="Garamond"/>
        </w:rPr>
        <w:t>é</w:t>
      </w:r>
      <w:r w:rsidR="002B4EA4" w:rsidRPr="00066045">
        <w:rPr>
          <w:rFonts w:ascii="Garamond" w:hAnsi="Garamond"/>
        </w:rPr>
        <w:t xml:space="preserve"> zakáz</w:t>
      </w:r>
      <w:r w:rsidR="00FA75D2">
        <w:rPr>
          <w:rFonts w:ascii="Garamond" w:hAnsi="Garamond"/>
        </w:rPr>
        <w:t>ce</w:t>
      </w:r>
      <w:r w:rsidR="007C79FD" w:rsidRPr="00066045">
        <w:rPr>
          <w:rFonts w:ascii="Garamond" w:hAnsi="Garamond"/>
          <w:b/>
        </w:rPr>
        <w:t xml:space="preserve"> </w:t>
      </w:r>
      <w:r w:rsidR="00324093" w:rsidRPr="00066045">
        <w:rPr>
          <w:rFonts w:ascii="Garamond" w:hAnsi="Garamond"/>
          <w:b/>
          <w:bCs/>
        </w:rPr>
        <w:t>„</w:t>
      </w:r>
      <w:r w:rsidR="004E449A" w:rsidRPr="004E449A">
        <w:rPr>
          <w:rFonts w:ascii="Garamond" w:hAnsi="Garamond"/>
          <w:b/>
          <w:bCs/>
        </w:rPr>
        <w:t xml:space="preserve">Statické zajištění fasády a cihelného zdiva ve 3.NP, demontáž střešní krytiny objektu Radniční 23/1, Okresní soud v Děčíně </w:t>
      </w:r>
      <w:r w:rsidR="00324093" w:rsidRPr="00066045">
        <w:rPr>
          <w:rFonts w:ascii="Garamond" w:hAnsi="Garamond"/>
          <w:b/>
          <w:bCs/>
        </w:rPr>
        <w:t>“</w:t>
      </w:r>
      <w:r w:rsidR="00DA233F" w:rsidRPr="00066045">
        <w:rPr>
          <w:rFonts w:ascii="Garamond" w:hAnsi="Garamond"/>
          <w:b/>
          <w:bCs/>
        </w:rPr>
        <w:t>.</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lastRenderedPageBreak/>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6319F1B3"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1C68EF">
        <w:rPr>
          <w:rFonts w:ascii="Garamond" w:hAnsi="Garamond"/>
          <w:b/>
          <w:bCs/>
        </w:rPr>
        <w:t xml:space="preserve">Okresního </w:t>
      </w:r>
      <w:r w:rsidR="003A7FB2" w:rsidRPr="001C68EF">
        <w:rPr>
          <w:rFonts w:ascii="Garamond" w:hAnsi="Garamond"/>
          <w:b/>
          <w:bCs/>
        </w:rPr>
        <w:t>soud</w:t>
      </w:r>
      <w:r w:rsidR="000E4A80" w:rsidRPr="001C68EF">
        <w:rPr>
          <w:rFonts w:ascii="Garamond" w:hAnsi="Garamond"/>
          <w:b/>
          <w:bCs/>
        </w:rPr>
        <w:t>u</w:t>
      </w:r>
      <w:r w:rsidRPr="001C68EF">
        <w:rPr>
          <w:rFonts w:ascii="Garamond" w:hAnsi="Garamond"/>
          <w:b/>
          <w:bCs/>
        </w:rPr>
        <w:t xml:space="preserve"> v</w:t>
      </w:r>
      <w:r w:rsidR="00C16196" w:rsidRPr="001C68EF">
        <w:rPr>
          <w:rFonts w:ascii="Garamond" w:hAnsi="Garamond"/>
          <w:b/>
          <w:bCs/>
        </w:rPr>
        <w:t> </w:t>
      </w:r>
      <w:r w:rsidR="00F82181" w:rsidRPr="001C68EF">
        <w:rPr>
          <w:rFonts w:ascii="Garamond" w:hAnsi="Garamond"/>
          <w:b/>
          <w:bCs/>
        </w:rPr>
        <w:t>Děčíně</w:t>
      </w:r>
      <w:r w:rsidRPr="001C68EF">
        <w:rPr>
          <w:rFonts w:ascii="Garamond" w:hAnsi="Garamond"/>
          <w:b/>
          <w:bCs/>
        </w:rPr>
        <w:t>,</w:t>
      </w:r>
      <w:r w:rsidRPr="008B0624">
        <w:rPr>
          <w:rFonts w:ascii="Garamond" w:hAnsi="Garamond"/>
        </w:rPr>
        <w:t xml:space="preserve"> </w:t>
      </w:r>
      <w:r w:rsidR="005F53FA">
        <w:rPr>
          <w:rFonts w:ascii="Garamond" w:hAnsi="Garamond"/>
          <w:b/>
        </w:rPr>
        <w:t>Radniční č. 23/1, 405 01 Děčín</w:t>
      </w:r>
      <w:r w:rsidR="008B0624" w:rsidRPr="005639EF">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5F4F66C0" w:rsidR="0037117C" w:rsidRDefault="00014068" w:rsidP="005C17E5">
      <w:pPr>
        <w:numPr>
          <w:ilvl w:val="0"/>
          <w:numId w:val="21"/>
        </w:numPr>
        <w:spacing w:before="120"/>
        <w:ind w:left="0" w:hanging="426"/>
        <w:jc w:val="both"/>
        <w:rPr>
          <w:rFonts w:ascii="Garamond" w:hAnsi="Garamond"/>
        </w:rPr>
      </w:pPr>
      <w:r w:rsidRPr="00977280">
        <w:rPr>
          <w:rFonts w:ascii="Garamond" w:hAnsi="Garamond"/>
        </w:rPr>
        <w:lastRenderedPageBreak/>
        <w:t>Zhotovitel se zavazuje provést dílo</w:t>
      </w:r>
      <w:r w:rsidR="00F82181">
        <w:rPr>
          <w:rFonts w:ascii="Garamond" w:hAnsi="Garamond"/>
        </w:rPr>
        <w:t xml:space="preserve"> v době </w:t>
      </w:r>
      <w:r w:rsidR="00FA75D2">
        <w:rPr>
          <w:rFonts w:ascii="Garamond" w:hAnsi="Garamond"/>
        </w:rPr>
        <w:t xml:space="preserve">od podpisu </w:t>
      </w:r>
      <w:r w:rsidR="00FA75D2" w:rsidRPr="00D668A5">
        <w:rPr>
          <w:rFonts w:ascii="Garamond" w:hAnsi="Garamond"/>
        </w:rPr>
        <w:t>smlouvy</w:t>
      </w:r>
      <w:r w:rsidR="00FA75D2" w:rsidRPr="00D668A5">
        <w:rPr>
          <w:rFonts w:ascii="Garamond" w:hAnsi="Garamond"/>
          <w:bCs/>
        </w:rPr>
        <w:t xml:space="preserve"> do 31. 1. 2025</w:t>
      </w:r>
      <w:r w:rsidR="001419F2">
        <w:rPr>
          <w:rFonts w:ascii="Garamond" w:hAnsi="Garamond"/>
        </w:rPr>
        <w:t>.</w:t>
      </w:r>
      <w:bookmarkStart w:id="0"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0F586059"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dohodnuty a upřesněny podmínky samotné realizace díla.</w:t>
      </w:r>
    </w:p>
    <w:bookmarkEnd w:id="0"/>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živelné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18713AD9"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F21808">
        <w:rPr>
          <w:rFonts w:ascii="Garamond" w:hAnsi="Garamond"/>
          <w:b/>
          <w:bCs/>
        </w:rPr>
        <w:t>269 637,10</w:t>
      </w:r>
      <w:r w:rsidR="00BE1871">
        <w:rPr>
          <w:rFonts w:ascii="Garamond" w:hAnsi="Garamond"/>
          <w:b/>
          <w:bCs/>
        </w:rPr>
        <w:t> </w:t>
      </w:r>
      <w:r w:rsidRPr="00A871AD">
        <w:rPr>
          <w:rFonts w:ascii="Garamond" w:hAnsi="Garamond"/>
          <w:b/>
          <w:bCs/>
        </w:rPr>
        <w:t>Kč</w:t>
      </w:r>
      <w:r w:rsidR="00971B29">
        <w:rPr>
          <w:rFonts w:ascii="Garamond" w:hAnsi="Garamond"/>
          <w:b/>
          <w:bCs/>
        </w:rPr>
        <w:t xml:space="preserve"> (zhotovitel</w:t>
      </w:r>
      <w:r w:rsidR="00F21808">
        <w:rPr>
          <w:rFonts w:ascii="Garamond" w:hAnsi="Garamond"/>
          <w:b/>
          <w:bCs/>
        </w:rPr>
        <w:t xml:space="preserve"> není plátce</w:t>
      </w:r>
      <w:r w:rsidRPr="00A871AD">
        <w:rPr>
          <w:rFonts w:ascii="Garamond" w:hAnsi="Garamond"/>
          <w:b/>
          <w:bCs/>
        </w:rPr>
        <w:t xml:space="preserve"> DPH</w:t>
      </w:r>
      <w:r w:rsidR="00971B29">
        <w:rPr>
          <w:rFonts w:ascii="Garamond" w:hAnsi="Garamond"/>
          <w:b/>
          <w:bCs/>
        </w:rPr>
        <w:t>)</w:t>
      </w:r>
      <w:r w:rsidRPr="001D1E6A">
        <w:rPr>
          <w:rFonts w:ascii="Garamond" w:hAnsi="Garamond"/>
        </w:rPr>
        <w:t>. Tato cena je stanovena jako cena nejvýše přípustná a nepřekročitelná, vycházející z</w:t>
      </w:r>
      <w:r w:rsidR="00971B29">
        <w:rPr>
          <w:rFonts w:ascii="Garamond" w:hAnsi="Garamond"/>
        </w:rPr>
        <w:t> </w:t>
      </w:r>
      <w:r w:rsidRPr="001D1E6A">
        <w:rPr>
          <w:rFonts w:ascii="Garamond" w:hAnsi="Garamond"/>
        </w:rPr>
        <w:t>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77777777"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p>
    <w:p w14:paraId="33E59DEC" w14:textId="27121A56" w:rsidR="00024E71" w:rsidRDefault="00F21808" w:rsidP="00024E71">
      <w:pPr>
        <w:spacing w:before="120"/>
        <w:jc w:val="both"/>
        <w:rPr>
          <w:rFonts w:ascii="Garamond" w:hAnsi="Garamond"/>
          <w:bCs/>
        </w:rPr>
      </w:pPr>
      <w:r>
        <w:rPr>
          <w:rFonts w:ascii="Garamond" w:hAnsi="Garamond"/>
        </w:rPr>
        <w:t>269 637,10</w:t>
      </w:r>
      <w:r w:rsidR="00024E71">
        <w:rPr>
          <w:rFonts w:ascii="Garamond" w:hAnsi="Garamond"/>
        </w:rPr>
        <w:t xml:space="preserve"> Kč </w:t>
      </w:r>
    </w:p>
    <w:p w14:paraId="0AE82CB9" w14:textId="63CCC851" w:rsidR="00024E71" w:rsidRDefault="008E38B0" w:rsidP="00024E71">
      <w:pPr>
        <w:jc w:val="both"/>
        <w:rPr>
          <w:rFonts w:ascii="Garamond" w:hAnsi="Garamond"/>
          <w:bCs/>
        </w:rPr>
      </w:pPr>
      <w:r>
        <w:rPr>
          <w:rFonts w:ascii="Garamond" w:hAnsi="Garamond"/>
        </w:rPr>
        <w:t>XXX</w:t>
      </w:r>
      <w:r w:rsidR="00024E71">
        <w:rPr>
          <w:rFonts w:ascii="Garamond" w:hAnsi="Garamond"/>
        </w:rPr>
        <w:t xml:space="preserve"> Kč </w:t>
      </w:r>
    </w:p>
    <w:p w14:paraId="43A52A44" w14:textId="075E0441" w:rsidR="00024E71" w:rsidRPr="0068267B" w:rsidRDefault="00F21808"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269 637,10</w:t>
      </w:r>
      <w:r w:rsidR="00024E71">
        <w:rPr>
          <w:rFonts w:ascii="Garamond" w:hAnsi="Garamond"/>
          <w:b/>
          <w:bCs/>
        </w:rPr>
        <w:t xml:space="preserve"> 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E22F5A">
      <w:pPr>
        <w:spacing w:before="36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w:t>
      </w:r>
      <w:r w:rsidRPr="0068267B">
        <w:rPr>
          <w:rFonts w:ascii="Garamond" w:hAnsi="Garamond"/>
        </w:rPr>
        <w:lastRenderedPageBreak/>
        <w:t xml:space="preserve">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obsahovat pouze tyto provedené práce. Splatnost faktury se stanovuje na 21 kalendářních dní ode dne doručení faktury objednateli.</w:t>
      </w:r>
    </w:p>
    <w:p w14:paraId="4DADB230" w14:textId="77777777" w:rsidR="0068267B" w:rsidRDefault="0068267B" w:rsidP="0068267B">
      <w:pPr>
        <w:numPr>
          <w:ilvl w:val="1"/>
          <w:numId w:val="9"/>
        </w:numPr>
        <w:spacing w:before="120"/>
        <w:ind w:left="0" w:hanging="426"/>
        <w:jc w:val="both"/>
        <w:rPr>
          <w:rFonts w:ascii="Garamond" w:hAnsi="Garamond"/>
        </w:rPr>
      </w:pPr>
      <w:r w:rsidRPr="0068267B">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0DC51A74" w:rsidR="00114B93" w:rsidRPr="00C54F6C" w:rsidRDefault="004808CB" w:rsidP="00114B93">
      <w:pPr>
        <w:pStyle w:val="Odstavecseseznamem"/>
        <w:numPr>
          <w:ilvl w:val="0"/>
          <w:numId w:val="46"/>
        </w:numPr>
        <w:spacing w:before="60"/>
        <w:ind w:left="284" w:hanging="284"/>
        <w:jc w:val="both"/>
        <w:rPr>
          <w:rFonts w:ascii="Garamond" w:hAnsi="Garamond"/>
        </w:rPr>
      </w:pPr>
      <w:r w:rsidRPr="00891242">
        <w:rPr>
          <w:rFonts w:ascii="Garamond" w:hAnsi="Garamond"/>
          <w:highlight w:val="black"/>
        </w:rPr>
        <w:t>xxxxxxxxxxxxx</w:t>
      </w:r>
      <w:r w:rsidR="00114B93" w:rsidRPr="00891242">
        <w:rPr>
          <w:rFonts w:ascii="Garamond" w:hAnsi="Garamond"/>
          <w:highlight w:val="black"/>
        </w:rPr>
        <w:t>,</w:t>
      </w:r>
      <w:r w:rsidR="00114B93" w:rsidRPr="00C54F6C">
        <w:rPr>
          <w:rFonts w:ascii="Garamond" w:hAnsi="Garamond"/>
        </w:rPr>
        <w:t xml:space="preserve"> e-mail: </w:t>
      </w:r>
      <w:r w:rsidRPr="00891242">
        <w:rPr>
          <w:rFonts w:ascii="Garamond" w:hAnsi="Garamond"/>
          <w:highlight w:val="black"/>
        </w:rPr>
        <w:t>xxxxxxx</w:t>
      </w:r>
      <w:r w:rsidR="00114B93">
        <w:rPr>
          <w:rFonts w:ascii="Garamond" w:hAnsi="Garamond"/>
        </w:rPr>
        <w:t>@</w:t>
      </w:r>
      <w:r w:rsidRPr="00891242">
        <w:rPr>
          <w:rFonts w:ascii="Garamond" w:hAnsi="Garamond"/>
          <w:highlight w:val="black"/>
        </w:rPr>
        <w:t>xxxxxxxxxxxx</w:t>
      </w:r>
      <w:r w:rsidR="00114B93" w:rsidRPr="00C54F6C">
        <w:rPr>
          <w:rFonts w:ascii="Garamond" w:hAnsi="Garamond"/>
        </w:rPr>
        <w:t xml:space="preserve">, tel.: </w:t>
      </w:r>
      <w:r w:rsidRPr="00891242">
        <w:rPr>
          <w:rFonts w:ascii="Garamond" w:hAnsi="Garamond"/>
          <w:highlight w:val="black"/>
        </w:rPr>
        <w:t>xxxxxxxxxxx</w:t>
      </w:r>
      <w:r w:rsidR="00114B93">
        <w:rPr>
          <w:rFonts w:ascii="Garamond" w:hAnsi="Garamond"/>
        </w:rPr>
        <w:t xml:space="preserve"> </w:t>
      </w:r>
      <w:r w:rsidR="00114B93" w:rsidRPr="00C54F6C">
        <w:rPr>
          <w:rFonts w:ascii="Garamond" w:hAnsi="Garamond"/>
        </w:rPr>
        <w:t xml:space="preserve">, mob.: </w:t>
      </w:r>
      <w:r w:rsidR="00114B93">
        <w:rPr>
          <w:rFonts w:ascii="Garamond" w:hAnsi="Garamond"/>
        </w:rPr>
        <w:t>+420 </w:t>
      </w:r>
      <w:r w:rsidRPr="00891242">
        <w:rPr>
          <w:rFonts w:ascii="Garamond" w:hAnsi="Garamond"/>
          <w:highlight w:val="black"/>
        </w:rPr>
        <w:t>xxxxxxxxxxx</w:t>
      </w:r>
    </w:p>
    <w:p w14:paraId="10EA6938" w14:textId="7ED107AD" w:rsidR="00114B93" w:rsidRPr="00C54F6C" w:rsidRDefault="004808CB" w:rsidP="00114B93">
      <w:pPr>
        <w:pStyle w:val="Odstavecseseznamem"/>
        <w:numPr>
          <w:ilvl w:val="0"/>
          <w:numId w:val="46"/>
        </w:numPr>
        <w:ind w:left="284" w:hanging="284"/>
        <w:jc w:val="both"/>
        <w:rPr>
          <w:rFonts w:ascii="Garamond" w:hAnsi="Garamond"/>
        </w:rPr>
      </w:pPr>
      <w:r w:rsidRPr="00891242">
        <w:rPr>
          <w:rFonts w:ascii="Garamond" w:hAnsi="Garamond"/>
          <w:highlight w:val="black"/>
        </w:rPr>
        <w:t>xxxxxxxxxxxxx</w:t>
      </w:r>
      <w:r w:rsidR="00114B93" w:rsidRPr="00891242">
        <w:rPr>
          <w:rFonts w:ascii="Garamond" w:hAnsi="Garamond"/>
          <w:highlight w:val="black"/>
        </w:rPr>
        <w:t>,</w:t>
      </w:r>
      <w:r w:rsidR="00114B93" w:rsidRPr="00C54F6C">
        <w:rPr>
          <w:rFonts w:ascii="Garamond" w:hAnsi="Garamond"/>
        </w:rPr>
        <w:t xml:space="preserve"> e-mail: </w:t>
      </w:r>
      <w:r w:rsidRPr="00891242">
        <w:rPr>
          <w:rFonts w:ascii="Garamond" w:hAnsi="Garamond"/>
          <w:highlight w:val="black"/>
        </w:rPr>
        <w:t>xxxxxxx</w:t>
      </w:r>
      <w:r w:rsidR="00114B93">
        <w:rPr>
          <w:rFonts w:ascii="Garamond" w:hAnsi="Garamond"/>
        </w:rPr>
        <w:t>@</w:t>
      </w:r>
      <w:r w:rsidRPr="00891242">
        <w:rPr>
          <w:rFonts w:ascii="Garamond" w:hAnsi="Garamond"/>
          <w:highlight w:val="black"/>
        </w:rPr>
        <w:t>xxxxxxxxxxxx</w:t>
      </w:r>
      <w:r w:rsidR="00114B93" w:rsidRPr="00C54F6C">
        <w:rPr>
          <w:rFonts w:ascii="Garamond" w:hAnsi="Garamond"/>
        </w:rPr>
        <w:t xml:space="preserve">, tel.: , mob.: </w:t>
      </w:r>
      <w:r w:rsidR="00114B93">
        <w:rPr>
          <w:rFonts w:ascii="Garamond" w:hAnsi="Garamond"/>
        </w:rPr>
        <w:t>+420 </w:t>
      </w:r>
      <w:r w:rsidR="00891242" w:rsidRPr="00891242">
        <w:rPr>
          <w:rFonts w:ascii="Garamond" w:hAnsi="Garamond"/>
          <w:highlight w:val="black"/>
        </w:rPr>
        <w:t>xxxxxxxxxxx</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lastRenderedPageBreak/>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4C1476E8" w:rsidR="004F38CD" w:rsidRDefault="00891242" w:rsidP="007E0172">
      <w:pPr>
        <w:numPr>
          <w:ilvl w:val="0"/>
          <w:numId w:val="14"/>
        </w:numPr>
        <w:spacing w:before="60"/>
        <w:ind w:left="284" w:hanging="284"/>
        <w:jc w:val="both"/>
        <w:rPr>
          <w:rFonts w:ascii="Garamond" w:hAnsi="Garamond"/>
        </w:rPr>
      </w:pPr>
      <w:r w:rsidRPr="00891242">
        <w:rPr>
          <w:rFonts w:ascii="Garamond" w:hAnsi="Garamond"/>
          <w:highlight w:val="black"/>
        </w:rPr>
        <w:t>xxxxxxxxxxxxx</w:t>
      </w:r>
      <w:r w:rsidR="000B1D87" w:rsidRPr="00891242">
        <w:rPr>
          <w:rFonts w:ascii="Garamond" w:hAnsi="Garamond"/>
          <w:highlight w:val="black"/>
        </w:rPr>
        <w:t>,</w:t>
      </w:r>
      <w:r w:rsidR="000B1D87">
        <w:rPr>
          <w:rFonts w:ascii="Garamond" w:hAnsi="Garamond"/>
        </w:rPr>
        <w:t xml:space="preserve"> e-mail: </w:t>
      </w:r>
      <w:r w:rsidR="009F25E0">
        <w:rPr>
          <w:rFonts w:ascii="Garamond" w:hAnsi="Garamond"/>
        </w:rPr>
        <w:t>jkonstrukt@seznam.cz</w:t>
      </w:r>
      <w:r w:rsidR="000B1D87">
        <w:rPr>
          <w:rFonts w:ascii="Garamond" w:hAnsi="Garamond"/>
        </w:rPr>
        <w:t>,  mob</w:t>
      </w:r>
      <w:r w:rsidR="000B1D87" w:rsidRPr="00891242">
        <w:rPr>
          <w:rFonts w:ascii="Garamond" w:hAnsi="Garamond"/>
          <w:highlight w:val="black"/>
        </w:rPr>
        <w:t xml:space="preserve">.: </w:t>
      </w:r>
      <w:r w:rsidRPr="00891242">
        <w:rPr>
          <w:rFonts w:ascii="Garamond" w:hAnsi="Garamond"/>
          <w:highlight w:val="black"/>
        </w:rPr>
        <w:t>xxxxxxxxxx</w:t>
      </w:r>
      <w:r w:rsidR="009F25E0" w:rsidRPr="00891242">
        <w:rPr>
          <w:rFonts w:ascii="Garamond" w:hAnsi="Garamond"/>
          <w:highlight w:val="black"/>
        </w:rPr>
        <w:t xml:space="preserve">, </w:t>
      </w:r>
      <w:r w:rsidRPr="00891242">
        <w:rPr>
          <w:rFonts w:ascii="Garamond" w:hAnsi="Garamond"/>
          <w:highlight w:val="black"/>
        </w:rPr>
        <w:t>xxxxxxxxxxxxx</w:t>
      </w:r>
    </w:p>
    <w:p w14:paraId="79350DFA" w14:textId="498048D2" w:rsidR="000B1D87" w:rsidRPr="00891242" w:rsidRDefault="00891242" w:rsidP="007E0172">
      <w:pPr>
        <w:numPr>
          <w:ilvl w:val="0"/>
          <w:numId w:val="14"/>
        </w:numPr>
        <w:ind w:left="284" w:hanging="284"/>
        <w:jc w:val="both"/>
        <w:rPr>
          <w:rFonts w:ascii="Garamond" w:hAnsi="Garamond"/>
          <w:highlight w:val="black"/>
        </w:rPr>
      </w:pPr>
      <w:r w:rsidRPr="00891242">
        <w:rPr>
          <w:rFonts w:ascii="Garamond" w:hAnsi="Garamond"/>
          <w:highlight w:val="black"/>
        </w:rPr>
        <w:t>xxxxxxxxxxxxx</w:t>
      </w:r>
      <w:r w:rsidR="000B1D87">
        <w:rPr>
          <w:rFonts w:ascii="Garamond" w:hAnsi="Garamond"/>
        </w:rPr>
        <w:t xml:space="preserve">, e-mail: </w:t>
      </w:r>
      <w:r w:rsidR="009F25E0">
        <w:rPr>
          <w:rFonts w:ascii="Garamond" w:hAnsi="Garamond"/>
        </w:rPr>
        <w:t>jkonstrukt@seznam.cz</w:t>
      </w:r>
      <w:r w:rsidR="000B1D87">
        <w:rPr>
          <w:rFonts w:ascii="Garamond" w:hAnsi="Garamond"/>
        </w:rPr>
        <w:t xml:space="preserve">, mob.: </w:t>
      </w:r>
      <w:r w:rsidRPr="00891242">
        <w:rPr>
          <w:rFonts w:ascii="Garamond" w:hAnsi="Garamond"/>
          <w:highlight w:val="black"/>
        </w:rPr>
        <w:t>xxxxxxxxxxx</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8E2F70">
      <w:pPr>
        <w:spacing w:before="84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 xml:space="preserve">a na jiných věcech, jež má zhotovitel povinnost předat objednateli podle této smlouvy, nese zhotovitel ode dne převzetí staveniště. Nebezpečí škody na jiných věcech, jež </w:t>
      </w:r>
      <w:r w:rsidRPr="001D1E6A">
        <w:rPr>
          <w:rFonts w:ascii="Garamond" w:hAnsi="Garamond"/>
        </w:rPr>
        <w:lastRenderedPageBreak/>
        <w:t>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lastRenderedPageBreak/>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1A317E40"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9F25E0">
        <w:rPr>
          <w:rFonts w:ascii="Garamond" w:hAnsi="Garamond"/>
          <w:b/>
        </w:rPr>
        <w:t>jkonstrukt@seznam.cz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w:t>
      </w:r>
      <w:r w:rsidRPr="00FF5D05">
        <w:rPr>
          <w:rFonts w:ascii="Garamond" w:hAnsi="Garamond"/>
        </w:rPr>
        <w:lastRenderedPageBreak/>
        <w:t xml:space="preserve">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04D813C0"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891242" w:rsidRPr="00891242">
        <w:rPr>
          <w:rFonts w:ascii="Garamond" w:hAnsi="Garamond"/>
          <w:highlight w:val="black"/>
        </w:rPr>
        <w:t>xxxxxxxxxxx</w:t>
      </w:r>
      <w:r w:rsidRPr="00FF5D05">
        <w:rPr>
          <w:rFonts w:ascii="Garamond" w:hAnsi="Garamond"/>
        </w:rPr>
        <w:t xml:space="preserve"> či elektronicky na e-mailovou adresu </w:t>
      </w:r>
      <w:r w:rsidR="009F25E0">
        <w:rPr>
          <w:rFonts w:ascii="Garamond" w:hAnsi="Garamond"/>
          <w:b/>
        </w:rPr>
        <w:t>jkonstrukt@seznam.cz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lastRenderedPageBreak/>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AC45AE">
      <w:pPr>
        <w:spacing w:before="24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lastRenderedPageBreak/>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5E6E21C9"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w:t>
      </w:r>
      <w:r w:rsidR="00AF08ED">
        <w:rPr>
          <w:rFonts w:ascii="Garamond" w:hAnsi="Garamond"/>
        </w:rPr>
        <w:t>předmětu díla dle této smlouvy</w:t>
      </w:r>
      <w:r w:rsidR="006A5F25" w:rsidRPr="00AF08ED">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3770C23A"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oceněný soupis prací a dodávek vyplněný zhotovitelem</w:t>
      </w: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261D7577"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Pr>
          <w:rFonts w:ascii="Garamond" w:hAnsi="Garamond"/>
        </w:rPr>
        <w:fldChar w:fldCharType="begin">
          <w:ffData>
            <w:name w:val="Text3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25FE93F8"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891242" w:rsidRPr="00891242">
        <w:rPr>
          <w:rFonts w:ascii="Garamond" w:hAnsi="Garamond"/>
          <w:highlight w:val="black"/>
        </w:rPr>
        <w:t>xxxxxxxxxxxxxx</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699FD1C6" w:rsidR="008B6148" w:rsidRDefault="008B6148" w:rsidP="009F457A">
      <w:pPr>
        <w:spacing w:before="480"/>
        <w:rPr>
          <w:rFonts w:ascii="Garamond" w:hAnsi="Garamond"/>
        </w:rPr>
      </w:pPr>
      <w:r>
        <w:rPr>
          <w:rFonts w:ascii="Garamond" w:hAnsi="Garamond"/>
        </w:rPr>
        <w:t>V</w:t>
      </w:r>
      <w:r w:rsidR="009F25E0">
        <w:rPr>
          <w:rFonts w:ascii="Garamond" w:hAnsi="Garamond"/>
        </w:rPr>
        <w:t> Ústí nad Labem</w:t>
      </w:r>
      <w:r>
        <w:rPr>
          <w:rFonts w:ascii="Garamond" w:hAnsi="Garamond"/>
        </w:rPr>
        <w:t xml:space="preserve"> dne </w:t>
      </w:r>
      <w:r>
        <w:rPr>
          <w:rFonts w:ascii="Garamond" w:hAnsi="Garamond"/>
        </w:rPr>
        <w:fldChar w:fldCharType="begin">
          <w:ffData>
            <w:name w:val="Text3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7C4C2660" w:rsidR="000B6988" w:rsidRDefault="009F25E0" w:rsidP="008B6148">
      <w:pPr>
        <w:rPr>
          <w:rFonts w:ascii="Garamond" w:hAnsi="Garamond"/>
        </w:rPr>
      </w:pPr>
      <w:r>
        <w:rPr>
          <w:rFonts w:ascii="Garamond" w:hAnsi="Garamond"/>
        </w:rPr>
        <w:t>JKONSTRUKT s.r.o.</w:t>
      </w:r>
    </w:p>
    <w:p w14:paraId="24CBB019" w14:textId="6A50D844"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891242" w:rsidRPr="00891242">
        <w:rPr>
          <w:rFonts w:ascii="Garamond" w:hAnsi="Garamond"/>
          <w:highlight w:val="black"/>
        </w:rPr>
        <w:t>xxxxxxxxxxxxxxxxxxxx</w:t>
      </w:r>
    </w:p>
    <w:p w14:paraId="352F6C13" w14:textId="1A46681C" w:rsidR="008B6148" w:rsidRDefault="000B6988" w:rsidP="008B6148">
      <w:pPr>
        <w:rPr>
          <w:rFonts w:ascii="Garamond" w:hAnsi="Garamond"/>
        </w:rPr>
      </w:pPr>
      <w:r>
        <w:rPr>
          <w:rFonts w:ascii="Garamond" w:hAnsi="Garamond"/>
        </w:rPr>
        <w:t xml:space="preserve">Funkce: </w:t>
      </w:r>
      <w:r w:rsidR="009F25E0">
        <w:rPr>
          <w:rFonts w:ascii="Garamond" w:hAnsi="Garamond"/>
        </w:rPr>
        <w:t>jednatel společnosti</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F346" w14:textId="77777777" w:rsidR="00801A3D" w:rsidRDefault="00801A3D" w:rsidP="005572DB">
      <w:r>
        <w:separator/>
      </w:r>
    </w:p>
  </w:endnote>
  <w:endnote w:type="continuationSeparator" w:id="0">
    <w:p w14:paraId="40A6BB59" w14:textId="77777777" w:rsidR="00801A3D" w:rsidRDefault="00801A3D"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264" w14:textId="77777777" w:rsidR="008B1DF3" w:rsidRDefault="008B1DF3">
    <w:pPr>
      <w:pStyle w:val="Zpat"/>
      <w:jc w:val="center"/>
    </w:pPr>
    <w:r>
      <w:fldChar w:fldCharType="begin"/>
    </w:r>
    <w:r>
      <w:instrText>PAGE   \* MERGEFORMAT</w:instrText>
    </w:r>
    <w:r>
      <w:fldChar w:fldCharType="separate"/>
    </w:r>
    <w:r w:rsidR="007A7222">
      <w:rPr>
        <w:noProof/>
      </w:rPr>
      <w:t>1</w:t>
    </w:r>
    <w:r w:rsidR="007A722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7FEA" w14:textId="77777777" w:rsidR="00801A3D" w:rsidRDefault="00801A3D" w:rsidP="005572DB">
      <w:r>
        <w:separator/>
      </w:r>
    </w:p>
  </w:footnote>
  <w:footnote w:type="continuationSeparator" w:id="0">
    <w:p w14:paraId="674C9E8F" w14:textId="77777777" w:rsidR="00801A3D" w:rsidRDefault="00801A3D"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A9A6" w14:textId="3A9B923D" w:rsidR="002225E3" w:rsidRPr="00DA7BF2" w:rsidRDefault="002225E3">
    <w:pPr>
      <w:pStyle w:val="Zhlav"/>
      <w:pBdr>
        <w:bottom w:val="single" w:sz="6" w:space="1" w:color="auto"/>
      </w:pBdr>
      <w:jc w:val="right"/>
      <w:rPr>
        <w:rFonts w:ascii="Garamond" w:hAnsi="Garamond"/>
        <w:lang w:val="cs-CZ"/>
      </w:rPr>
    </w:pPr>
    <w:r>
      <w:rPr>
        <w:rFonts w:ascii="Garamond" w:hAnsi="Garamond"/>
      </w:rPr>
      <w:t>sp. zn</w:t>
    </w:r>
    <w:r w:rsidRPr="00114B93">
      <w:rPr>
        <w:rFonts w:ascii="Garamond" w:hAnsi="Garamond"/>
      </w:rPr>
      <w:t xml:space="preserve">. </w:t>
    </w:r>
    <w:r w:rsidRPr="00114B93">
      <w:rPr>
        <w:rFonts w:ascii="Garamond" w:hAnsi="Garamond"/>
        <w:lang w:val="cs-CZ"/>
      </w:rPr>
      <w:t xml:space="preserve">Spr </w:t>
    </w:r>
    <w:r w:rsidR="00FA75D2">
      <w:rPr>
        <w:rFonts w:ascii="Garamond" w:hAnsi="Garamond"/>
        <w:lang w:val="cs-CZ"/>
      </w:rPr>
      <w:t>697</w:t>
    </w:r>
    <w:r w:rsidRPr="00114B93">
      <w:rPr>
        <w:rFonts w:ascii="Garamond" w:hAnsi="Garamond"/>
        <w:lang w:val="cs-CZ"/>
      </w:rPr>
      <w:t>/202</w:t>
    </w:r>
    <w:r w:rsidR="00FA75D2">
      <w:rPr>
        <w:rFonts w:ascii="Garamond" w:hAnsi="Garamond"/>
        <w:lang w:val="cs-CZ"/>
      </w:rPr>
      <w:t>4</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187" w14:textId="424BB718"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E53109">
      <w:rPr>
        <w:rFonts w:ascii="Garamond" w:hAnsi="Garamond"/>
      </w:rPr>
      <w:t>697</w:t>
    </w:r>
    <w:r w:rsidR="00BF47BB" w:rsidRPr="00114B93">
      <w:rPr>
        <w:rFonts w:ascii="Garamond" w:hAnsi="Garamond"/>
        <w:lang w:val="cs-CZ"/>
      </w:rPr>
      <w:t>/202</w:t>
    </w:r>
    <w:r w:rsidR="00E53109">
      <w:rPr>
        <w:rFonts w:ascii="Garamond" w:hAnsi="Garamond"/>
        <w:lang w:val="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6"/>
  </w:num>
  <w:num w:numId="2" w16cid:durableId="267279238">
    <w:abstractNumId w:val="46"/>
  </w:num>
  <w:num w:numId="3" w16cid:durableId="1570574729">
    <w:abstractNumId w:val="30"/>
  </w:num>
  <w:num w:numId="4" w16cid:durableId="1444688109">
    <w:abstractNumId w:val="0"/>
  </w:num>
  <w:num w:numId="5" w16cid:durableId="777993860">
    <w:abstractNumId w:val="15"/>
  </w:num>
  <w:num w:numId="6" w16cid:durableId="276913693">
    <w:abstractNumId w:val="22"/>
  </w:num>
  <w:num w:numId="7" w16cid:durableId="1226910742">
    <w:abstractNumId w:val="29"/>
  </w:num>
  <w:num w:numId="8" w16cid:durableId="1888107047">
    <w:abstractNumId w:val="5"/>
  </w:num>
  <w:num w:numId="9" w16cid:durableId="812143190">
    <w:abstractNumId w:val="40"/>
  </w:num>
  <w:num w:numId="10" w16cid:durableId="2037458175">
    <w:abstractNumId w:val="27"/>
  </w:num>
  <w:num w:numId="11" w16cid:durableId="2146698591">
    <w:abstractNumId w:val="42"/>
  </w:num>
  <w:num w:numId="12" w16cid:durableId="1041052171">
    <w:abstractNumId w:val="16"/>
  </w:num>
  <w:num w:numId="13" w16cid:durableId="324666857">
    <w:abstractNumId w:val="31"/>
  </w:num>
  <w:num w:numId="14" w16cid:durableId="1918325375">
    <w:abstractNumId w:val="37"/>
  </w:num>
  <w:num w:numId="15" w16cid:durableId="129595773">
    <w:abstractNumId w:val="20"/>
  </w:num>
  <w:num w:numId="16" w16cid:durableId="2068143037">
    <w:abstractNumId w:val="39"/>
  </w:num>
  <w:num w:numId="17" w16cid:durableId="439690648">
    <w:abstractNumId w:val="8"/>
  </w:num>
  <w:num w:numId="18" w16cid:durableId="2107770174">
    <w:abstractNumId w:val="17"/>
  </w:num>
  <w:num w:numId="19" w16cid:durableId="1281650062">
    <w:abstractNumId w:val="24"/>
  </w:num>
  <w:num w:numId="20" w16cid:durableId="1092555164">
    <w:abstractNumId w:val="25"/>
  </w:num>
  <w:num w:numId="21" w16cid:durableId="1008558276">
    <w:abstractNumId w:val="45"/>
  </w:num>
  <w:num w:numId="22" w16cid:durableId="431319265">
    <w:abstractNumId w:val="6"/>
  </w:num>
  <w:num w:numId="23" w16cid:durableId="1441605625">
    <w:abstractNumId w:val="28"/>
  </w:num>
  <w:num w:numId="24" w16cid:durableId="926572248">
    <w:abstractNumId w:val="3"/>
  </w:num>
  <w:num w:numId="25" w16cid:durableId="1322736038">
    <w:abstractNumId w:val="2"/>
  </w:num>
  <w:num w:numId="26" w16cid:durableId="2055232812">
    <w:abstractNumId w:val="10"/>
  </w:num>
  <w:num w:numId="27" w16cid:durableId="591166003">
    <w:abstractNumId w:val="35"/>
  </w:num>
  <w:num w:numId="28" w16cid:durableId="999191180">
    <w:abstractNumId w:val="11"/>
  </w:num>
  <w:num w:numId="29" w16cid:durableId="697857620">
    <w:abstractNumId w:val="26"/>
  </w:num>
  <w:num w:numId="30" w16cid:durableId="920874634">
    <w:abstractNumId w:val="43"/>
  </w:num>
  <w:num w:numId="31" w16cid:durableId="2130779638">
    <w:abstractNumId w:val="33"/>
  </w:num>
  <w:num w:numId="32" w16cid:durableId="241254577">
    <w:abstractNumId w:val="13"/>
  </w:num>
  <w:num w:numId="33" w16cid:durableId="433286408">
    <w:abstractNumId w:val="38"/>
  </w:num>
  <w:num w:numId="34" w16cid:durableId="406155314">
    <w:abstractNumId w:val="44"/>
  </w:num>
  <w:num w:numId="35" w16cid:durableId="232468189">
    <w:abstractNumId w:val="41"/>
  </w:num>
  <w:num w:numId="36" w16cid:durableId="127431317">
    <w:abstractNumId w:val="23"/>
  </w:num>
  <w:num w:numId="37" w16cid:durableId="35935151">
    <w:abstractNumId w:val="32"/>
  </w:num>
  <w:num w:numId="38" w16cid:durableId="924873696">
    <w:abstractNumId w:val="1"/>
  </w:num>
  <w:num w:numId="39" w16cid:durableId="527986798">
    <w:abstractNumId w:val="4"/>
  </w:num>
  <w:num w:numId="40" w16cid:durableId="3286293">
    <w:abstractNumId w:val="14"/>
  </w:num>
  <w:num w:numId="41" w16cid:durableId="1386294801">
    <w:abstractNumId w:val="19"/>
  </w:num>
  <w:num w:numId="42" w16cid:durableId="188955400">
    <w:abstractNumId w:val="21"/>
  </w:num>
  <w:num w:numId="43" w16cid:durableId="1418087924">
    <w:abstractNumId w:val="12"/>
  </w:num>
  <w:num w:numId="44" w16cid:durableId="1341658927">
    <w:abstractNumId w:val="7"/>
  </w:num>
  <w:num w:numId="45" w16cid:durableId="205028399">
    <w:abstractNumId w:val="9"/>
  </w:num>
  <w:num w:numId="46" w16cid:durableId="1084375575">
    <w:abstractNumId w:val="18"/>
  </w:num>
  <w:num w:numId="47" w16cid:durableId="48871502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5B9A"/>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B73D1"/>
    <w:rsid w:val="001C0054"/>
    <w:rsid w:val="001C0365"/>
    <w:rsid w:val="001C2824"/>
    <w:rsid w:val="001C4CDD"/>
    <w:rsid w:val="001C53C0"/>
    <w:rsid w:val="001C68EF"/>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5CF"/>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08CB"/>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449A"/>
    <w:rsid w:val="004E50FF"/>
    <w:rsid w:val="004E5A00"/>
    <w:rsid w:val="004E64EC"/>
    <w:rsid w:val="004F06BF"/>
    <w:rsid w:val="004F112A"/>
    <w:rsid w:val="004F1CC9"/>
    <w:rsid w:val="004F38CD"/>
    <w:rsid w:val="004F532D"/>
    <w:rsid w:val="004F62CE"/>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239"/>
    <w:rsid w:val="005907D6"/>
    <w:rsid w:val="0059354C"/>
    <w:rsid w:val="0059491F"/>
    <w:rsid w:val="00594F65"/>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C3E"/>
    <w:rsid w:val="006B50A8"/>
    <w:rsid w:val="006C17C3"/>
    <w:rsid w:val="006C4BC9"/>
    <w:rsid w:val="006C5C3D"/>
    <w:rsid w:val="006D4D0A"/>
    <w:rsid w:val="006D6363"/>
    <w:rsid w:val="006E3AF1"/>
    <w:rsid w:val="006E4088"/>
    <w:rsid w:val="006F0654"/>
    <w:rsid w:val="006F067F"/>
    <w:rsid w:val="006F1320"/>
    <w:rsid w:val="006F443A"/>
    <w:rsid w:val="006F4896"/>
    <w:rsid w:val="006F65BE"/>
    <w:rsid w:val="006F674F"/>
    <w:rsid w:val="006F6E16"/>
    <w:rsid w:val="006F7653"/>
    <w:rsid w:val="006F781C"/>
    <w:rsid w:val="006F7C8F"/>
    <w:rsid w:val="007016E6"/>
    <w:rsid w:val="007027D9"/>
    <w:rsid w:val="00702D7A"/>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2F12"/>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016A"/>
    <w:rsid w:val="007F119C"/>
    <w:rsid w:val="007F2ED0"/>
    <w:rsid w:val="007F3022"/>
    <w:rsid w:val="007F7A87"/>
    <w:rsid w:val="00801A3D"/>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1242"/>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2F70"/>
    <w:rsid w:val="008E38B0"/>
    <w:rsid w:val="008E5291"/>
    <w:rsid w:val="008E5D3A"/>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1739"/>
    <w:rsid w:val="0094569A"/>
    <w:rsid w:val="00945ECB"/>
    <w:rsid w:val="00947B46"/>
    <w:rsid w:val="009514D1"/>
    <w:rsid w:val="009527C4"/>
    <w:rsid w:val="00953CBD"/>
    <w:rsid w:val="00955F90"/>
    <w:rsid w:val="009649BC"/>
    <w:rsid w:val="0097049A"/>
    <w:rsid w:val="00971B29"/>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25E0"/>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08ED"/>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7578D"/>
    <w:rsid w:val="00B81DCD"/>
    <w:rsid w:val="00B86FF2"/>
    <w:rsid w:val="00B91811"/>
    <w:rsid w:val="00B91DEF"/>
    <w:rsid w:val="00B94A58"/>
    <w:rsid w:val="00B972CC"/>
    <w:rsid w:val="00B976BF"/>
    <w:rsid w:val="00BB0B61"/>
    <w:rsid w:val="00BB47DF"/>
    <w:rsid w:val="00BB4935"/>
    <w:rsid w:val="00BB6EE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F204F"/>
    <w:rsid w:val="00CF3ACB"/>
    <w:rsid w:val="00CF5086"/>
    <w:rsid w:val="00CF5A74"/>
    <w:rsid w:val="00CF63B5"/>
    <w:rsid w:val="00D00608"/>
    <w:rsid w:val="00D05A21"/>
    <w:rsid w:val="00D1039E"/>
    <w:rsid w:val="00D11131"/>
    <w:rsid w:val="00D13FF9"/>
    <w:rsid w:val="00D14AB0"/>
    <w:rsid w:val="00D15C93"/>
    <w:rsid w:val="00D16D2B"/>
    <w:rsid w:val="00D24AD9"/>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E59"/>
    <w:rsid w:val="00D62FA9"/>
    <w:rsid w:val="00D631A0"/>
    <w:rsid w:val="00D63E6E"/>
    <w:rsid w:val="00D64BDB"/>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1B64"/>
    <w:rsid w:val="00DE2DB1"/>
    <w:rsid w:val="00DE342D"/>
    <w:rsid w:val="00DE521F"/>
    <w:rsid w:val="00DE594C"/>
    <w:rsid w:val="00DE60C0"/>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5550"/>
    <w:rsid w:val="00E35D1B"/>
    <w:rsid w:val="00E41328"/>
    <w:rsid w:val="00E42840"/>
    <w:rsid w:val="00E42B2F"/>
    <w:rsid w:val="00E46601"/>
    <w:rsid w:val="00E50EAF"/>
    <w:rsid w:val="00E513E2"/>
    <w:rsid w:val="00E53109"/>
    <w:rsid w:val="00E533C0"/>
    <w:rsid w:val="00E545E9"/>
    <w:rsid w:val="00E54B31"/>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6032"/>
    <w:rsid w:val="00F173CD"/>
    <w:rsid w:val="00F2006E"/>
    <w:rsid w:val="00F20353"/>
    <w:rsid w:val="00F21808"/>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1DD4"/>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547A"/>
    <w:rsid w:val="00FA75D2"/>
    <w:rsid w:val="00FB1DA3"/>
    <w:rsid w:val="00FB2FE1"/>
    <w:rsid w:val="00FB3827"/>
    <w:rsid w:val="00FB4701"/>
    <w:rsid w:val="00FB785A"/>
    <w:rsid w:val="00FC0648"/>
    <w:rsid w:val="00FC259B"/>
    <w:rsid w:val="00FC5A21"/>
    <w:rsid w:val="00FD04DA"/>
    <w:rsid w:val="00FD6B67"/>
    <w:rsid w:val="00FE00B7"/>
    <w:rsid w:val="00FE09BD"/>
    <w:rsid w:val="00FE19B0"/>
    <w:rsid w:val="00FE5AC4"/>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4843</Words>
  <Characters>28576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33353</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16</cp:revision>
  <cp:lastPrinted>2023-07-25T11:40:00Z</cp:lastPrinted>
  <dcterms:created xsi:type="dcterms:W3CDTF">2024-12-11T13:56:00Z</dcterms:created>
  <dcterms:modified xsi:type="dcterms:W3CDTF">2025-07-14T10:58:00Z</dcterms:modified>
</cp:coreProperties>
</file>