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683" w:h="422" w:wrap="none" w:hAnchor="page" w:x="1807" w:y="728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AOPK ČR - nádrž nelze vypouštět v období od 1.3. do 15.8.</w:t>
      </w:r>
    </w:p>
    <w:p>
      <w:pPr>
        <w:pStyle w:val="Style2"/>
        <w:keepNext w:val="0"/>
        <w:keepLines w:val="0"/>
        <w:framePr w:w="2597" w:h="504" w:wrap="none" w:hAnchor="page" w:x="1807" w:y="6586"/>
        <w:widowControl w:val="0"/>
        <w:shd w:val="clear" w:color="auto" w:fill="auto"/>
        <w:tabs>
          <w:tab w:pos="8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TBD POh -</w:t>
        <w:tab/>
        <w:t>- po stavbě zajistí vodočetnou</w:t>
      </w:r>
    </w:p>
    <w:p>
      <w:pPr>
        <w:pStyle w:val="Style2"/>
        <w:keepNext w:val="0"/>
        <w:keepLines w:val="0"/>
        <w:framePr w:w="2597" w:h="504" w:wrap="none" w:hAnchor="page" w:x="1807" w:y="6586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lať (není v PD)</w:t>
      </w:r>
    </w:p>
    <w:p>
      <w:pPr>
        <w:pStyle w:val="Style2"/>
        <w:keepNext w:val="0"/>
        <w:keepLines w:val="0"/>
        <w:framePr w:w="2597" w:h="504" w:wrap="none" w:hAnchor="page" w:x="1807" w:y="65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Kolaudační řízení</w:t>
      </w:r>
    </w:p>
    <w:tbl>
      <w:tblPr>
        <w:tblOverlap w:val="never"/>
        <w:jc w:val="left"/>
        <w:tblLayout w:type="fixed"/>
      </w:tblPr>
      <w:tblGrid>
        <w:gridCol w:w="336"/>
        <w:gridCol w:w="2712"/>
        <w:gridCol w:w="1075"/>
        <w:gridCol w:w="1411"/>
      </w:tblGrid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Fá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Trvání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Dílčí činnost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RN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povolení MM KV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předrealiza</w:t>
            </w:r>
          </w:p>
        </w:tc>
        <w:tc>
          <w:tcPr>
            <w:tcBorders>
              <w:right w:val="single" w:sz="4"/>
            </w:tcBorders>
            <w:shd w:val="clear" w:color="auto" w:fill="DAE1F4"/>
            <w:vAlign w:val="center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4472C4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 platné do 10/2025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Výběrové řízení na zhotovitele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ční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ř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íp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liza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Uzavření SoD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ční příprava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Vypuštění vodního díla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OPI - výroba trvalé pamětní desky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 celkem (realizace)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534" w:h="4795" w:vSpace="192" w:wrap="none" w:hAnchor="page" w:x="1361" w:y="17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Havarijní a povodňový plán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69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03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04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05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06</w:t>
            </w:r>
          </w:p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 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odběru a rozboru sedimentů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Odbahnění rybníka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požerákové výpusti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přítokového koryta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odpadního koryta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Rekonstrukce odvodňovacího příkopu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59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dřevin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32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5534" w:h="4795" w:vSpace="192" w:wrap="none" w:hAnchor="page" w:x="1361" w:y="1787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5534" w:h="4795" w:vSpace="192" w:wrap="none" w:hAnchor="page" w:x="1361" w:y="17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</w:tr>
    </w:tbl>
    <w:p>
      <w:pPr>
        <w:framePr w:w="5534" w:h="4795" w:vSpace="192" w:wrap="none" w:hAnchor="page" w:x="1361" w:y="1787"/>
        <w:widowControl w:val="0"/>
        <w:spacing w:line="1" w:lineRule="exact"/>
      </w:pPr>
    </w:p>
    <w:p>
      <w:pPr>
        <w:pStyle w:val="Style11"/>
        <w:keepNext w:val="0"/>
        <w:keepLines w:val="0"/>
        <w:framePr w:w="125" w:h="192" w:wrap="none" w:hAnchor="page" w:x="5935" w:y="6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"/>
        <w:keepNext w:val="0"/>
        <w:keepLines w:val="0"/>
        <w:framePr w:w="2530" w:h="422" w:wrap="none" w:hAnchor="page" w:x="1807" w:y="798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OÚ Stanovice - kácení lze provádět pouze v době vegetačního klidu od 1.10. do 31.3.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6985</wp:posOffset>
            </wp:positionH>
            <wp:positionV relativeFrom="margin">
              <wp:posOffset>0</wp:posOffset>
            </wp:positionV>
            <wp:extent cx="30480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480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640715</wp:posOffset>
            </wp:positionH>
            <wp:positionV relativeFrom="margin">
              <wp:posOffset>713105</wp:posOffset>
            </wp:positionV>
            <wp:extent cx="13856335" cy="50901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856335" cy="509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637030" simplePos="0" relativeHeight="62914692" behindDoc="1" locked="0" layoutInCell="1" allowOverlap="1">
            <wp:simplePos x="0" y="0"/>
            <wp:positionH relativeFrom="page">
              <wp:posOffset>793115</wp:posOffset>
            </wp:positionH>
            <wp:positionV relativeFrom="margin">
              <wp:posOffset>4556760</wp:posOffset>
            </wp:positionV>
            <wp:extent cx="323215" cy="78930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23215" cy="789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19" w:orient="landscape"/>
      <w:pgMar w:top="0" w:left="11" w:right="982" w:bottom="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12"/>
      <w:szCs w:val="1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10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FF0000"/>
      <w:sz w:val="12"/>
      <w:szCs w:val="1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