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63178358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2F1D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2405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2F1D4E">
              <w:rPr>
                <w:rFonts w:ascii="Arial" w:hAnsi="Arial" w:cs="Arial"/>
                <w:b/>
                <w:bCs/>
                <w:sz w:val="20"/>
                <w:szCs w:val="20"/>
              </w:rPr>
              <w:t>VZT</w:t>
            </w:r>
            <w:r w:rsidR="00275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chlazení</w:t>
            </w:r>
            <w:r w:rsidR="002F1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 rámec bilancí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40766E21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2F1D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2405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1363D747" w14:textId="400544F9" w:rsidR="00702FA8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</w:t>
                  </w:r>
                  <w:r w:rsidR="002F1D4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B240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_</w:t>
                  </w:r>
                  <w:r w:rsidR="002F1D4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VZT nad rámec bilancí</w:t>
                  </w:r>
                </w:p>
                <w:p w14:paraId="0ED4BEDE" w14:textId="7275BE74" w:rsidR="00DD0198" w:rsidRPr="00A047CA" w:rsidRDefault="00DD0198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 KOMERC VZDUCHOTECHNIKA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>
              <w:rPr>
                <w:rFonts w:ascii="Arial" w:hAnsi="Arial" w:cs="Arial"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6082B320" w14:textId="41DFFDEA" w:rsidR="002F1D4E" w:rsidRPr="002F1D4E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>V rámci stavebních prací na st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ř</w:t>
                  </w:r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>eše došlo k demontáži původních jednotek umístěných na střeše. V souvislosti s tím bylo nezbytné kompletně vypustit chladivový okruh a demontovat původní měděné potrubní rozvody. Tyto práce nebyly zahrnuty ve výchozím rozpočtu a nebylo s nimi počítáno při původním nacenění zakázky.</w:t>
                  </w:r>
                </w:p>
                <w:p w14:paraId="111EAABE" w14:textId="77777777" w:rsidR="002F1D4E" w:rsidRPr="002F1D4E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8905E0" w14:textId="77777777" w:rsidR="002F1D4E" w:rsidRPr="002F1D4E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 xml:space="preserve">Z výše uvedených důvodů bylo nutné nově navrhnout a realizovat kompletní doplnění systému chlazení pro 5 až 7 NP, včetně nového potrubního vedení, izolačních materiálů, doplnění chladiva a opětovného uvedení systému VRV do provozu (odsátí dusíku, </w:t>
                  </w:r>
                  <w:proofErr w:type="spellStart"/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>vakuace</w:t>
                  </w:r>
                  <w:proofErr w:type="spellEnd"/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>, napuštění, načtení jednotek do systému).</w:t>
                  </w:r>
                </w:p>
                <w:p w14:paraId="03B34DD4" w14:textId="77777777" w:rsidR="002F1D4E" w:rsidRPr="002F1D4E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F0EA31" w14:textId="10BD5D44" w:rsidR="006720DB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F1D4E">
                    <w:rPr>
                      <w:rFonts w:ascii="Arial" w:hAnsi="Arial" w:cs="Arial"/>
                      <w:sz w:val="16"/>
                      <w:szCs w:val="16"/>
                    </w:rPr>
                    <w:t>Veškeré položky uvedené v tomto ZL reflektují skutečný rozsah dodatečných prací a materiálů nezbytných k zajištění plné funkčnosti systému po zásahu do technologie.</w:t>
                  </w:r>
                </w:p>
                <w:p w14:paraId="0322D03A" w14:textId="77777777" w:rsidR="00F37A29" w:rsidRDefault="00F37A29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572B0B" w14:textId="1824DB1E" w:rsidR="00F37A29" w:rsidRDefault="00F37A29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71F7FD80" w14:textId="77777777" w:rsidR="002F1D4E" w:rsidRPr="008A7D0C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BF19F4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zatřídění dle ZZVZ §222 odst. </w:t>
                  </w:r>
                  <w:r w:rsidR="006720DB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21DC2CB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50B49DAC" w:rsidR="00415144" w:rsidRPr="00AB2113" w:rsidRDefault="002F1D4E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411 792,12</w:t>
                  </w:r>
                </w:p>
              </w:tc>
              <w:tc>
                <w:tcPr>
                  <w:tcW w:w="1655" w:type="dxa"/>
                </w:tcPr>
                <w:p w14:paraId="48E6C2C1" w14:textId="4B3A658F" w:rsidR="00F52690" w:rsidRPr="00AB2113" w:rsidRDefault="002F1D4E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411</w:t>
                  </w:r>
                  <w:r w:rsidR="008E4CF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792,12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2EF71BEC" w:rsidR="00915AD0" w:rsidRPr="00AB2113" w:rsidRDefault="00A52CD1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0C38277F" w:rsidR="00A557A8" w:rsidRPr="00AB2113" w:rsidRDefault="00A52CD1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71CFD962" w:rsidR="00A557A8" w:rsidRPr="00AB2113" w:rsidRDefault="00A52CD1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0689" w14:textId="77777777" w:rsidR="00A036A9" w:rsidRDefault="00A036A9" w:rsidP="006A5D6B">
      <w:pPr>
        <w:spacing w:after="0" w:line="240" w:lineRule="auto"/>
      </w:pPr>
      <w:r>
        <w:separator/>
      </w:r>
    </w:p>
  </w:endnote>
  <w:endnote w:type="continuationSeparator" w:id="0">
    <w:p w14:paraId="72F27D74" w14:textId="77777777" w:rsidR="00A036A9" w:rsidRDefault="00A036A9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5D16" w14:textId="77777777" w:rsidR="00A036A9" w:rsidRDefault="00A036A9" w:rsidP="006A5D6B">
      <w:pPr>
        <w:spacing w:after="0" w:line="240" w:lineRule="auto"/>
      </w:pPr>
      <w:r>
        <w:separator/>
      </w:r>
    </w:p>
  </w:footnote>
  <w:footnote w:type="continuationSeparator" w:id="0">
    <w:p w14:paraId="73F9B7B4" w14:textId="77777777" w:rsidR="00A036A9" w:rsidRDefault="00A036A9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65FAD"/>
    <w:rsid w:val="00090012"/>
    <w:rsid w:val="00095A69"/>
    <w:rsid w:val="000A1E20"/>
    <w:rsid w:val="000E34A1"/>
    <w:rsid w:val="00120FB8"/>
    <w:rsid w:val="00126D2F"/>
    <w:rsid w:val="0013043F"/>
    <w:rsid w:val="00133303"/>
    <w:rsid w:val="00142A3E"/>
    <w:rsid w:val="001451D6"/>
    <w:rsid w:val="00157EBC"/>
    <w:rsid w:val="0018139B"/>
    <w:rsid w:val="001A70A4"/>
    <w:rsid w:val="00261E01"/>
    <w:rsid w:val="002672D2"/>
    <w:rsid w:val="00275EB6"/>
    <w:rsid w:val="00286425"/>
    <w:rsid w:val="00286697"/>
    <w:rsid w:val="00293CAD"/>
    <w:rsid w:val="00294994"/>
    <w:rsid w:val="002C4BC7"/>
    <w:rsid w:val="002F1D4E"/>
    <w:rsid w:val="002F2436"/>
    <w:rsid w:val="002F2C4C"/>
    <w:rsid w:val="002F467B"/>
    <w:rsid w:val="00303422"/>
    <w:rsid w:val="00315ED0"/>
    <w:rsid w:val="0033043C"/>
    <w:rsid w:val="00331218"/>
    <w:rsid w:val="003352A7"/>
    <w:rsid w:val="00337DC3"/>
    <w:rsid w:val="00342A47"/>
    <w:rsid w:val="003607B4"/>
    <w:rsid w:val="003671C5"/>
    <w:rsid w:val="00394A93"/>
    <w:rsid w:val="003971A1"/>
    <w:rsid w:val="003D67F5"/>
    <w:rsid w:val="004050AB"/>
    <w:rsid w:val="00415144"/>
    <w:rsid w:val="00427C81"/>
    <w:rsid w:val="004327E2"/>
    <w:rsid w:val="00443935"/>
    <w:rsid w:val="004503C2"/>
    <w:rsid w:val="00473479"/>
    <w:rsid w:val="004B585E"/>
    <w:rsid w:val="004C5A98"/>
    <w:rsid w:val="005732CB"/>
    <w:rsid w:val="005A5C61"/>
    <w:rsid w:val="005A5F7E"/>
    <w:rsid w:val="005C76A9"/>
    <w:rsid w:val="005E1400"/>
    <w:rsid w:val="005E382C"/>
    <w:rsid w:val="00617748"/>
    <w:rsid w:val="00645578"/>
    <w:rsid w:val="006705C6"/>
    <w:rsid w:val="006720DB"/>
    <w:rsid w:val="006879BE"/>
    <w:rsid w:val="006A5D6B"/>
    <w:rsid w:val="006B4C0C"/>
    <w:rsid w:val="006B5BCF"/>
    <w:rsid w:val="006D5CCF"/>
    <w:rsid w:val="006F1E35"/>
    <w:rsid w:val="00702E6A"/>
    <w:rsid w:val="00702FA8"/>
    <w:rsid w:val="007126BA"/>
    <w:rsid w:val="007400B0"/>
    <w:rsid w:val="00750651"/>
    <w:rsid w:val="00770A8F"/>
    <w:rsid w:val="007849AF"/>
    <w:rsid w:val="00794DCD"/>
    <w:rsid w:val="007B2CF8"/>
    <w:rsid w:val="007B44EC"/>
    <w:rsid w:val="007B68B9"/>
    <w:rsid w:val="007B6FC3"/>
    <w:rsid w:val="007D3A5D"/>
    <w:rsid w:val="007D534A"/>
    <w:rsid w:val="007D6051"/>
    <w:rsid w:val="00823BCC"/>
    <w:rsid w:val="008351A6"/>
    <w:rsid w:val="00876875"/>
    <w:rsid w:val="008A7D0C"/>
    <w:rsid w:val="008E4CF9"/>
    <w:rsid w:val="00907F62"/>
    <w:rsid w:val="00915AD0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9F3B9F"/>
    <w:rsid w:val="00A036A9"/>
    <w:rsid w:val="00A047CA"/>
    <w:rsid w:val="00A1002C"/>
    <w:rsid w:val="00A218A1"/>
    <w:rsid w:val="00A52CD1"/>
    <w:rsid w:val="00A557A8"/>
    <w:rsid w:val="00A56B6A"/>
    <w:rsid w:val="00AB2113"/>
    <w:rsid w:val="00AB31B7"/>
    <w:rsid w:val="00AC1BBE"/>
    <w:rsid w:val="00AF0502"/>
    <w:rsid w:val="00B00A38"/>
    <w:rsid w:val="00B15597"/>
    <w:rsid w:val="00B2405A"/>
    <w:rsid w:val="00B26AAF"/>
    <w:rsid w:val="00B54452"/>
    <w:rsid w:val="00B65F2B"/>
    <w:rsid w:val="00B70544"/>
    <w:rsid w:val="00BB651B"/>
    <w:rsid w:val="00BF5F93"/>
    <w:rsid w:val="00C132CA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D1547E"/>
    <w:rsid w:val="00D238E0"/>
    <w:rsid w:val="00D6441A"/>
    <w:rsid w:val="00DA3FEF"/>
    <w:rsid w:val="00DA43E0"/>
    <w:rsid w:val="00DA7B0B"/>
    <w:rsid w:val="00DB37F7"/>
    <w:rsid w:val="00DD0198"/>
    <w:rsid w:val="00DF7B17"/>
    <w:rsid w:val="00E02100"/>
    <w:rsid w:val="00E250DE"/>
    <w:rsid w:val="00E51242"/>
    <w:rsid w:val="00E5370C"/>
    <w:rsid w:val="00E73404"/>
    <w:rsid w:val="00E83424"/>
    <w:rsid w:val="00EB0B83"/>
    <w:rsid w:val="00EB3FAD"/>
    <w:rsid w:val="00EB559F"/>
    <w:rsid w:val="00EC0CEC"/>
    <w:rsid w:val="00F00F4E"/>
    <w:rsid w:val="00F264E8"/>
    <w:rsid w:val="00F35193"/>
    <w:rsid w:val="00F37A29"/>
    <w:rsid w:val="00F52690"/>
    <w:rsid w:val="00F83377"/>
    <w:rsid w:val="00FA613D"/>
    <w:rsid w:val="00FC5BE2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2025-07-11T07:33:00Z</dcterms:created>
  <dcterms:modified xsi:type="dcterms:W3CDTF">2025-07-11T07:33:00Z</dcterms:modified>
</cp:coreProperties>
</file>