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96" w:rsidRDefault="00913396">
      <w:pPr>
        <w:pStyle w:val="Nadpis10"/>
        <w:keepNext/>
        <w:keepLines/>
        <w:sectPr w:rsidR="00913396">
          <w:footerReference w:type="default" r:id="rId7"/>
          <w:pgSz w:w="11900" w:h="16840"/>
          <w:pgMar w:top="540" w:right="1300" w:bottom="1964" w:left="8170" w:header="112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913396" w:rsidRDefault="00544760">
      <w:pPr>
        <w:pStyle w:val="Zkladntext1"/>
        <w:framePr w:w="1949" w:h="302" w:wrap="none" w:vAnchor="text" w:hAnchor="page" w:x="4960" w:y="92"/>
        <w:spacing w:after="0" w:line="240" w:lineRule="auto"/>
      </w:pPr>
      <w:r>
        <w:rPr>
          <w:rStyle w:val="Zkladntext"/>
          <w:b/>
          <w:bCs/>
        </w:rPr>
        <w:t>SMLOUVA O DÍLO</w:t>
      </w:r>
    </w:p>
    <w:p w:rsidR="00913396" w:rsidRDefault="00544760">
      <w:pPr>
        <w:pStyle w:val="Zkladntext20"/>
        <w:framePr w:w="936" w:h="211" w:wrap="none" w:vAnchor="text" w:hAnchor="page" w:x="8488" w:y="21"/>
      </w:pPr>
      <w:r>
        <w:rPr>
          <w:rStyle w:val="Zkladntext2"/>
        </w:rPr>
        <w:t>2025005230</w:t>
      </w:r>
    </w:p>
    <w:p w:rsidR="00913396" w:rsidRDefault="00913396">
      <w:pPr>
        <w:spacing w:after="393" w:line="1" w:lineRule="exact"/>
      </w:pPr>
    </w:p>
    <w:p w:rsidR="00913396" w:rsidRDefault="00913396">
      <w:pPr>
        <w:spacing w:line="1" w:lineRule="exact"/>
        <w:sectPr w:rsidR="00913396">
          <w:type w:val="continuous"/>
          <w:pgSz w:w="11900" w:h="16840"/>
          <w:pgMar w:top="540" w:right="1301" w:bottom="572" w:left="1374" w:header="0" w:footer="3" w:gutter="0"/>
          <w:cols w:space="720"/>
          <w:noEndnote/>
          <w:docGrid w:linePitch="360"/>
        </w:sectPr>
      </w:pPr>
    </w:p>
    <w:p w:rsidR="00913396" w:rsidRDefault="00544760">
      <w:pPr>
        <w:pStyle w:val="Zkladntext1"/>
        <w:spacing w:after="540"/>
        <w:jc w:val="center"/>
      </w:pPr>
      <w:r>
        <w:rPr>
          <w:rStyle w:val="Zkladntext"/>
        </w:rPr>
        <w:t xml:space="preserve">podle </w:t>
      </w:r>
      <w:r>
        <w:rPr>
          <w:rStyle w:val="Zkladntext"/>
        </w:rPr>
        <w:t>ustanovení § 2586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6360"/>
      </w:tblGrid>
      <w:tr w:rsidR="0091339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36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360" w:type="dxa"/>
            <w:shd w:val="clear" w:color="auto" w:fill="auto"/>
          </w:tcPr>
          <w:p w:rsidR="00913396" w:rsidRDefault="00544760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36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360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MUDr. Hana </w:t>
            </w:r>
            <w:r>
              <w:rPr>
                <w:rStyle w:val="Jin"/>
              </w:rPr>
              <w:t>Albrechtová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736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60" w:type="dxa"/>
            <w:shd w:val="clear" w:color="auto" w:fill="auto"/>
          </w:tcPr>
          <w:p w:rsidR="00913396" w:rsidRDefault="00544760">
            <w:pPr>
              <w:pStyle w:val="Jin0"/>
              <w:spacing w:after="0" w:line="286" w:lineRule="auto"/>
            </w:pPr>
            <w:proofErr w:type="gramStart"/>
            <w:r>
              <w:rPr>
                <w:rStyle w:val="Jin"/>
                <w:spacing w:val="9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u w:val="single"/>
                <w:lang w:val="en-US" w:eastAsia="en-US" w:bidi="en-US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proofErr w:type="gramEnd"/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36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360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36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60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36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736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Bankovní spojení (číslo </w:t>
            </w:r>
            <w:r>
              <w:rPr>
                <w:rStyle w:val="Jin"/>
              </w:rPr>
              <w:t>účtu):</w:t>
            </w:r>
          </w:p>
        </w:tc>
        <w:tc>
          <w:tcPr>
            <w:tcW w:w="6360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913396" w:rsidRDefault="00913396">
      <w:pPr>
        <w:spacing w:after="99" w:line="1" w:lineRule="exact"/>
      </w:pPr>
    </w:p>
    <w:p w:rsidR="00913396" w:rsidRDefault="00544760">
      <w:pPr>
        <w:pStyle w:val="Zkladntext1"/>
        <w:spacing w:after="28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„objednatel“</w:t>
      </w:r>
    </w:p>
    <w:p w:rsidR="00913396" w:rsidRDefault="00544760">
      <w:pPr>
        <w:pStyle w:val="Zkladntext1"/>
        <w:spacing w:after="280" w:line="240" w:lineRule="auto"/>
      </w:pPr>
      <w:r>
        <w:rPr>
          <w:rStyle w:val="Zkladntext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2635"/>
      </w:tblGrid>
      <w:tr w:rsidR="009133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8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2635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  <w:b/>
                <w:bCs/>
              </w:rPr>
              <w:t>Bohuslava Bůčková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98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2635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  <w:ind w:firstLine="660"/>
            </w:pPr>
            <w:r>
              <w:rPr>
                <w:rStyle w:val="Jin"/>
              </w:rPr>
              <w:t>Hlavní 124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98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2635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Bohuslava Bůčková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98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2635" w:type="dxa"/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Bohuslava Bůčková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98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2635" w:type="dxa"/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  <w:ind w:firstLine="660"/>
            </w:pPr>
            <w:r>
              <w:rPr>
                <w:rStyle w:val="Jin"/>
              </w:rPr>
              <w:t>44150288</w:t>
            </w:r>
          </w:p>
        </w:tc>
      </w:tr>
    </w:tbl>
    <w:p w:rsidR="00913396" w:rsidRDefault="00913396">
      <w:pPr>
        <w:spacing w:after="539" w:line="1" w:lineRule="exact"/>
      </w:pPr>
    </w:p>
    <w:p w:rsidR="00913396" w:rsidRDefault="00544760">
      <w:pPr>
        <w:pStyle w:val="Zkladntext1"/>
        <w:spacing w:after="280" w:line="240" w:lineRule="auto"/>
      </w:pPr>
      <w:r>
        <w:rPr>
          <w:rStyle w:val="Zkladntext"/>
        </w:rPr>
        <w:t>Bankovní spojení (číslo účtu): 728747641/0100</w:t>
      </w:r>
    </w:p>
    <w:p w:rsidR="00913396" w:rsidRDefault="00544760">
      <w:pPr>
        <w:pStyle w:val="Zkladntext1"/>
        <w:spacing w:after="108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„zhotovitel)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spacing w:after="280"/>
        <w:ind w:left="560" w:hanging="560"/>
      </w:pPr>
      <w:r>
        <w:rPr>
          <w:rStyle w:val="Zkladntext"/>
        </w:rPr>
        <w:t xml:space="preserve">Zhotovitel se zavazuje provádět pro objednatele dílo, spočívající v údržbě vybavení pracoviště v Brně, Kamenice 798/1 d interiérovými rostlinami, a to v rozsahu dle čl. 2 této smlouvy. Toto pracoviště objednatele je ^zároveň místem </w:t>
      </w:r>
      <w:r>
        <w:rPr>
          <w:rStyle w:val="Zkladntext"/>
        </w:rPr>
        <w:t>plnění závazku zhotovitele podle této smlouvy.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spacing w:after="100"/>
        <w:ind w:left="560" w:hanging="560"/>
      </w:pPr>
      <w:r>
        <w:rPr>
          <w:rStyle w:val="Zkladntext"/>
        </w:rPr>
        <w:t>Součástí díla podle čl. 1 této smlouvy je přitom kompletní péče o interiérové rostliny podle čl. 1 této smlouvy, kterými se ke dni uzavření této smlouvy rozumí: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1378"/>
      </w:tblGrid>
      <w:tr w:rsidR="0091339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Název </w:t>
            </w:r>
            <w:proofErr w:type="gramStart"/>
            <w:r>
              <w:rPr>
                <w:rStyle w:val="Jin"/>
                <w:b/>
                <w:bCs/>
              </w:rPr>
              <w:t>rostliny .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396" w:rsidRDefault="0054476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počet kusů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Zemioculcas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zamiifo</w:t>
            </w:r>
            <w:r>
              <w:rPr>
                <w:rStyle w:val="Jin"/>
              </w:rPr>
              <w:t>lia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35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Ficus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binnendijkii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Sansevieria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trifasciata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Dracena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marginata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ind w:firstLine="600"/>
            </w:pPr>
            <w:r>
              <w:rPr>
                <w:rStyle w:val="Jin"/>
              </w:rPr>
              <w:t>1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Schefflera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arboricola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</w:t>
            </w:r>
          </w:p>
        </w:tc>
      </w:tr>
      <w:tr w:rsidR="0091339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Spathiphyllum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sensation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96" w:rsidRDefault="0054476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</w:tr>
    </w:tbl>
    <w:p w:rsidR="00913396" w:rsidRDefault="00544760">
      <w:pPr>
        <w:pStyle w:val="Zkladntext1"/>
        <w:spacing w:after="60"/>
        <w:ind w:firstLine="720"/>
        <w:jc w:val="both"/>
      </w:pPr>
      <w:r>
        <w:rPr>
          <w:rStyle w:val="Zkladntext"/>
        </w:rPr>
        <w:t>Součástí kompletní péče o interiérové rostliny je také:</w:t>
      </w:r>
    </w:p>
    <w:p w:rsidR="00913396" w:rsidRDefault="00544760">
      <w:pPr>
        <w:pStyle w:val="Zkladntext1"/>
        <w:numPr>
          <w:ilvl w:val="0"/>
          <w:numId w:val="2"/>
        </w:numPr>
        <w:tabs>
          <w:tab w:val="left" w:pos="1336"/>
        </w:tabs>
        <w:spacing w:after="0" w:line="271" w:lineRule="auto"/>
        <w:ind w:left="1160" w:hanging="280"/>
        <w:jc w:val="both"/>
      </w:pPr>
      <w:r>
        <w:rPr>
          <w:rStyle w:val="Zkladntext"/>
        </w:rPr>
        <w:t xml:space="preserve">odpovídající průběžné zavlažování, hnojení, odstraňování jejich </w:t>
      </w:r>
      <w:r>
        <w:rPr>
          <w:rStyle w:val="Zkladntext"/>
        </w:rPr>
        <w:t xml:space="preserve">suchých Částí, zajišťování </w:t>
      </w:r>
      <w:r>
        <w:rPr>
          <w:rStyle w:val="Zkladntext"/>
        </w:rPr>
        <w:lastRenderedPageBreak/>
        <w:t>jejich opory, jejich ochrany, průběžná kontrola jejich zdravotního stavu a měření jejich PH,</w:t>
      </w:r>
    </w:p>
    <w:p w:rsidR="00913396" w:rsidRDefault="00544760">
      <w:pPr>
        <w:pStyle w:val="Zkladntext1"/>
        <w:numPr>
          <w:ilvl w:val="0"/>
          <w:numId w:val="2"/>
        </w:numPr>
        <w:tabs>
          <w:tab w:val="left" w:pos="1336"/>
        </w:tabs>
        <w:spacing w:after="0" w:line="271" w:lineRule="auto"/>
        <w:ind w:firstLine="880"/>
      </w:pPr>
      <w:r>
        <w:rPr>
          <w:rStyle w:val="Zkladntext"/>
        </w:rPr>
        <w:t>dodávka květinové dekorace v hodnotě vždy nejméně 400,- Kč jednou týdně,</w:t>
      </w:r>
    </w:p>
    <w:p w:rsidR="00913396" w:rsidRDefault="00544760">
      <w:pPr>
        <w:pStyle w:val="Zkladntext1"/>
        <w:numPr>
          <w:ilvl w:val="0"/>
          <w:numId w:val="2"/>
        </w:numPr>
        <w:tabs>
          <w:tab w:val="left" w:pos="1336"/>
        </w:tabs>
        <w:spacing w:after="120" w:line="271" w:lineRule="auto"/>
        <w:ind w:firstLine="880"/>
      </w:pPr>
      <w:r>
        <w:rPr>
          <w:rStyle w:val="Zkladntext"/>
        </w:rPr>
        <w:t>poskytování ústních konzultací objednateli ve věci údržby dle č</w:t>
      </w:r>
      <w:r>
        <w:rPr>
          <w:rStyle w:val="Zkladntext"/>
        </w:rPr>
        <w:t>l. 1 této smlouvy.</w:t>
      </w:r>
    </w:p>
    <w:p w:rsidR="00913396" w:rsidRDefault="00544760">
      <w:pPr>
        <w:pStyle w:val="Zkladntext1"/>
        <w:spacing w:line="271" w:lineRule="auto"/>
        <w:ind w:left="560" w:firstLine="20"/>
        <w:jc w:val="both"/>
      </w:pPr>
      <w:r>
        <w:rPr>
          <w:rStyle w:val="Zkladntext"/>
        </w:rPr>
        <w:t>Zhotovitel se přitom zavazuje činit ve lhůtách dle průběžných pokynů objednatele, nedohodnou-li se obě strany v jednotlivém případě jinak.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 xml:space="preserve">Závazek zhotovitele k plnění podle čl. 1 této smlouvy bude plněn formou dílčích měsíčních plnění, </w:t>
      </w:r>
      <w:r>
        <w:rPr>
          <w:rStyle w:val="Zkladntext"/>
        </w:rPr>
        <w:t>přičemž závazek ke každému dílčímu měsíčnímu plnění se bude považovat za splněný po faktickém provedení příslušné údržby za příslušný kalendářní měsíc jejím předáním a převzetím formou písemného předávacího protokolu, podepsaného oběma stranami.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spacing w:line="271" w:lineRule="auto"/>
        <w:ind w:left="560" w:hanging="560"/>
        <w:jc w:val="both"/>
      </w:pPr>
      <w:r>
        <w:rPr>
          <w:rStyle w:val="Zkladntext"/>
        </w:rPr>
        <w:t>Při provád</w:t>
      </w:r>
      <w:r>
        <w:rPr>
          <w:rStyle w:val="Zkladntext"/>
        </w:rPr>
        <w:t>ění díla je zhotovitel povinen postupovat podle této smlouvy, příslušných právních předpisů a průběžných pokynů objednatele, a s náležitou odbornou péčí.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 xml:space="preserve">Pro případ prodlení s provedením díla nebo jeho části ve lhůtě podle čl. 2 této smlouvy se zhotovitel </w:t>
      </w:r>
      <w:r>
        <w:rPr>
          <w:rStyle w:val="Zkladntext"/>
        </w:rPr>
        <w:t>zavazuje zaplatit objednateli smluvní pokutu ve výši 0,1 % z ceny díla podle čl. 6 této smlouvy za každý započatý den tohoto prodlení.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 xml:space="preserve">Objednatel se zavazuje platit zhotoviteli za dílo podle čl. 1 této smlouvy cenu ve výši: </w:t>
      </w:r>
      <w:proofErr w:type="gramStart"/>
      <w:r>
        <w:rPr>
          <w:rStyle w:val="Zkladntext"/>
        </w:rPr>
        <w:t>7500,-.Kč</w:t>
      </w:r>
      <w:proofErr w:type="gramEnd"/>
      <w:r>
        <w:rPr>
          <w:rStyle w:val="Zkladntext"/>
        </w:rPr>
        <w:t xml:space="preserve"> měsíčně.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>Součástí ceny</w:t>
      </w:r>
      <w:r>
        <w:rPr>
          <w:rStyle w:val="Zkladntext"/>
        </w:rPr>
        <w:t xml:space="preserve"> díla podle čl. 6 této smlouvy je i náhrada veškerých nákladů, které zhotovitel vynaloží na splnění svého závazku podle čl. 1 této smlouvy nebo v souvislosti s ním.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>Cena díla podle čl. 6 této smlouvy je splatná vždy po skončení příslušného kalendářního měs</w:t>
      </w:r>
      <w:r>
        <w:rPr>
          <w:rStyle w:val="Zkladntext"/>
        </w:rPr>
        <w:t xml:space="preserve">íce za celé dílo odvedené v tomto měsíci ve lhůtě do 30 dnů od předložení jejího písemného vyúčtování (faktury/daňového dokladu).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>Přílohou</w:t>
      </w:r>
      <w:proofErr w:type="gramEnd"/>
      <w:r>
        <w:rPr>
          <w:rStyle w:val="Zkladntext"/>
        </w:rPr>
        <w:t xml:space="preserve"> faktury musí být vždy předávací protokol podle čl. 3 této smlouvy. Na faktuře musí být mimo jiné vždy uvedeno toto číslo veřejné zakázky, ke které se faktura vztahuje: </w:t>
      </w:r>
      <w:r>
        <w:rPr>
          <w:rStyle w:val="Zkladntext"/>
          <w:b/>
          <w:bCs/>
          <w:sz w:val="19"/>
          <w:szCs w:val="19"/>
        </w:rPr>
        <w:t xml:space="preserve">P25V00002084. </w:t>
      </w:r>
      <w:r>
        <w:rPr>
          <w:rStyle w:val="Zkladntext"/>
        </w:rPr>
        <w:t>Přílohou faktury bude kopie písemného předávacího protokolu podep</w:t>
      </w:r>
      <w:r>
        <w:rPr>
          <w:rStyle w:val="Zkladntext"/>
        </w:rPr>
        <w:t>saného oběma stranami dle čl. 3 této smlouvy. Nebude-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faktura splňovat veškeré náležitosti daňového dokladu podle zákona a další náležitosti podle této smlouvy, je objednatel oprávněn vrátit takovou fakturu zhotoviteli k opravě, přičemž doba její splatno</w:t>
      </w:r>
      <w:r>
        <w:rPr>
          <w:rStyle w:val="Zkladntext"/>
        </w:rPr>
        <w:t>sti začne znovu celá běžet ode dne doručení opravené faktury objednateli.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>Pro případ prodlení s úhradou ceny díla podle čl. 8 této smlouvy ve lhůtě podle čl. 8 této smlouvy se objednatel zavazuje zaplatit zhotoviteli úrok z prodlení ve výši platné a účinné</w:t>
      </w:r>
      <w:r>
        <w:rPr>
          <w:rStyle w:val="Zkladntext"/>
        </w:rPr>
        <w:t xml:space="preserve"> dle zákona.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spacing w:line="271" w:lineRule="auto"/>
        <w:ind w:left="560" w:hanging="560"/>
        <w:jc w:val="both"/>
      </w:pPr>
      <w:r>
        <w:rPr>
          <w:rStyle w:val="Zkladntext"/>
        </w:rPr>
        <w:t>Objednatel se zavazuje poskytnout zhotoviteli součinnost, potřebnou k řádnému splnění jeho závazku podle čl. 1 této smlouvy, zejména mu umožňovat včasným předáním svého pracoviště plnění jeho závazku podle této smlouvy v dohodnutých lhůtách.</w:t>
      </w:r>
    </w:p>
    <w:p w:rsidR="00913396" w:rsidRDefault="00544760">
      <w:pPr>
        <w:pStyle w:val="Zkladntext1"/>
        <w:numPr>
          <w:ilvl w:val="0"/>
          <w:numId w:val="1"/>
        </w:numPr>
        <w:tabs>
          <w:tab w:val="left" w:pos="552"/>
        </w:tabs>
        <w:ind w:left="560" w:hanging="560"/>
        <w:jc w:val="both"/>
      </w:pPr>
      <w:r>
        <w:rPr>
          <w:rStyle w:val="Zkladntext"/>
        </w:rPr>
        <w:t>Z</w:t>
      </w:r>
      <w:r>
        <w:rPr>
          <w:rStyle w:val="Zkladntext"/>
        </w:rPr>
        <w:t xml:space="preserve">hotovitel poskytuje objednateli záruku za jakost díla </w:t>
      </w:r>
      <w:proofErr w:type="spellStart"/>
      <w:r>
        <w:rPr>
          <w:rStyle w:val="Zkladntext"/>
        </w:rPr>
        <w:t>stím</w:t>
      </w:r>
      <w:proofErr w:type="spellEnd"/>
      <w:r>
        <w:rPr>
          <w:rStyle w:val="Zkladntext"/>
        </w:rPr>
        <w:t>, že případné vady díla je třeba reklamovat do 24 hodin od splnění závazku zhotovitele k provedení díla nebo jeho části. V tomto smyslu se zhotovitel zavazuje bezplatně a ihned po jejich reklamaci o</w:t>
      </w:r>
      <w:r>
        <w:rPr>
          <w:rStyle w:val="Zkladntext"/>
        </w:rPr>
        <w:t>dstraňovat reklamované vady.</w:t>
      </w:r>
      <w:r>
        <w:br w:type="page"/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ind w:left="560" w:hanging="560"/>
        <w:jc w:val="both"/>
      </w:pPr>
      <w:r>
        <w:rPr>
          <w:rStyle w:val="Zkladntext"/>
        </w:rPr>
        <w:lastRenderedPageBreak/>
        <w:t xml:space="preserve">Není-li touto smlouvou ujednáno jinak, řídí se vzájemný právní vztah mezi zhotovitelem a objednatelem ustanovení § 2586 až 2620 občanského zákoníku, přičemž tato právní úprava má přednost před nepsanými obchodními zvyklostmi. </w:t>
      </w:r>
      <w:r>
        <w:rPr>
          <w:rStyle w:val="Zkladntext"/>
        </w:rPr>
        <w:t>Tímto ujednáním se přitom vylučuje aplikaci ustanovení § 558 občanského zákoníku na vztah mezi oběma stranami podle této smlouvy.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jc w:val="both"/>
        <w:rPr>
          <w:sz w:val="19"/>
          <w:szCs w:val="19"/>
        </w:rPr>
      </w:pPr>
      <w:r>
        <w:rPr>
          <w:rStyle w:val="Zkladntext"/>
        </w:rPr>
        <w:t xml:space="preserve">Tato smlouva se uzavírá na dobu určitou do </w:t>
      </w:r>
      <w:r>
        <w:rPr>
          <w:rStyle w:val="Zkladntext"/>
          <w:b/>
          <w:bCs/>
          <w:sz w:val="19"/>
          <w:szCs w:val="19"/>
        </w:rPr>
        <w:t>31. 07. 2028.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ind w:left="560" w:hanging="560"/>
        <w:jc w:val="both"/>
      </w:pPr>
      <w:r>
        <w:rPr>
          <w:rStyle w:val="Zkladntext"/>
        </w:rPr>
        <w:t>Předpokladem uzavření této smlouvy je její písemná forma a dohoda o j</w:t>
      </w:r>
      <w:r>
        <w:rPr>
          <w:rStyle w:val="Zkladntext"/>
        </w:rPr>
        <w:t>ejich podstatných náležitostech, čímž se rozumí celý obsah této smlouvy, jak je uveden v čl. 1 až 20 této smlouvy. Objednatel přitom předem vylučuje přijetí tohoto návrhu s dodatkem nebo odchylkou ve smyslu ustanovení § 1740 odst. 3 občanského zákoníku.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ind w:left="560" w:hanging="560"/>
        <w:jc w:val="both"/>
      </w:pPr>
      <w:r>
        <w:rPr>
          <w:rStyle w:val="Zkladntext"/>
        </w:rPr>
        <w:t>Ob</w:t>
      </w:r>
      <w:r>
        <w:rPr>
          <w:rStyle w:val="Zkladntext"/>
        </w:rPr>
        <w:t>ě strany se dohodly, že zaplacením smluvní pokuty podle této smlouvy není nijak dotčeno právo strany na náhradu škody v plné výši. Tímto ujednáním se přitom vylučuje aplikace ustanovení § 2050 na vztah mezi oběma stranami podle této smlouvy.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ind w:left="560" w:hanging="560"/>
        <w:jc w:val="both"/>
      </w:pPr>
      <w:r>
        <w:rPr>
          <w:rStyle w:val="Zkladntext"/>
        </w:rPr>
        <w:t>Tuto smlouvu l</w:t>
      </w:r>
      <w:r>
        <w:rPr>
          <w:rStyle w:val="Zkladntext"/>
        </w:rPr>
        <w:t>ze změnit nebo zrušit pouze jinou písemnou dohodou obou smluvních stran. Tuto smlouvu lze také vypovědět a to písemnou výpovědí s jednoměsíční výpovědní lhůtou, která počne běžet prvním dnem měsíce následujícího po doručení výpovědi druhé smluvní straně.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0"/>
        <w:jc w:val="both"/>
      </w:pPr>
      <w:r>
        <w:rPr>
          <w:rStyle w:val="Zkladntext"/>
        </w:rPr>
        <w:t>T</w:t>
      </w:r>
      <w:r>
        <w:rPr>
          <w:rStyle w:val="Zkladntext"/>
        </w:rPr>
        <w:t>ato smlouva bude uveřejněna prostřednictvím registru smluv postupem dle zákona</w:t>
      </w:r>
    </w:p>
    <w:p w:rsidR="00913396" w:rsidRDefault="00544760">
      <w:pPr>
        <w:pStyle w:val="Zkladntext1"/>
        <w:spacing w:after="220"/>
        <w:ind w:left="560"/>
        <w:jc w:val="both"/>
      </w:pPr>
      <w:r>
        <w:rPr>
          <w:rStyle w:val="Zkladntext"/>
        </w:rPr>
        <w:t>č. 340/2015 Sb., o zvláštních podmínkách účinnosti některých smluv, uveřejňování těchto smluv a o registru smluv (zákon o registru smluv), v platném znění. Smluvní strany se doh</w:t>
      </w:r>
      <w:r>
        <w:rPr>
          <w:rStyle w:val="Zkladntext"/>
        </w:rPr>
        <w:t xml:space="preserve">odly, že uveřejnění v registru smluv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ind w:left="560" w:hanging="560"/>
        <w:jc w:val="both"/>
      </w:pPr>
      <w:r>
        <w:rPr>
          <w:rStyle w:val="Zkladntext"/>
        </w:rPr>
        <w:t>Smlouva nabývá platnosti dnem jejího podpisu a účinnosti dnem zveřejnění této smlouvy v registru smluv dle čl. 17 této smlouvy, nejdříve však 1. 8. 2025.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220"/>
        <w:ind w:left="560" w:hanging="560"/>
        <w:jc w:val="both"/>
      </w:pPr>
      <w:r>
        <w:rPr>
          <w:rStyle w:val="Zkladntext"/>
        </w:rPr>
        <w:t>Tato smlouva se vyhoto</w:t>
      </w:r>
      <w:r>
        <w:rPr>
          <w:rStyle w:val="Zkladntext"/>
        </w:rPr>
        <w:t>vuje ve dvou stejnopisech splatností originálu, z nichž každá ze smluvních stran obdrží jedno vyhotovení. V případě, že je tato smlouva uzavřena elektronickými prostředky, obdrží každá smluvní strana jeden identický elektronický soubor.</w:t>
      </w:r>
    </w:p>
    <w:p w:rsidR="00913396" w:rsidRDefault="00544760">
      <w:pPr>
        <w:pStyle w:val="Zkladntext1"/>
        <w:numPr>
          <w:ilvl w:val="0"/>
          <w:numId w:val="3"/>
        </w:numPr>
        <w:tabs>
          <w:tab w:val="left" w:pos="562"/>
        </w:tabs>
        <w:spacing w:after="780"/>
        <w:ind w:left="560" w:hanging="560"/>
        <w:jc w:val="both"/>
      </w:pPr>
      <w:r>
        <w:rPr>
          <w:rStyle w:val="Zkladntext"/>
        </w:rPr>
        <w:t xml:space="preserve">Zhotovitel uděluje </w:t>
      </w:r>
      <w:r>
        <w:rPr>
          <w:rStyle w:val="Zkladntext"/>
        </w:rPr>
        <w:t>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 w:rsidR="00913396" w:rsidRDefault="00544760">
      <w:pPr>
        <w:pStyle w:val="Zkladntext1"/>
        <w:spacing w:after="1620" w:line="240" w:lineRule="auto"/>
        <w:ind w:left="1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29640" distL="114300" distR="1595755" simplePos="0" relativeHeight="12582937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12700</wp:posOffset>
                </wp:positionV>
                <wp:extent cx="688975" cy="182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3396" w:rsidRDefault="0054476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99999999999997pt;margin-top:1.pt;width:54.25pt;height:14.4pt;z-index:-125829375;mso-wrap-distance-left:9.pt;mso-wrap-distance-right:125.65000000000001pt;mso-wrap-distance-bottom:73.2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32485" distB="0" distL="153670" distR="517525" simplePos="0" relativeHeight="125829380" behindDoc="0" locked="0" layoutInCell="1" allowOverlap="1">
            <wp:simplePos x="0" y="0"/>
            <wp:positionH relativeFrom="page">
              <wp:posOffset>925830</wp:posOffset>
            </wp:positionH>
            <wp:positionV relativeFrom="paragraph">
              <wp:posOffset>845185</wp:posOffset>
            </wp:positionV>
            <wp:extent cx="1731010" cy="2806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3101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1407160</wp:posOffset>
                </wp:positionH>
                <wp:positionV relativeFrom="paragraph">
                  <wp:posOffset>415290</wp:posOffset>
                </wp:positionV>
                <wp:extent cx="1649095" cy="4267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3396" w:rsidRDefault="0054476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Zdravotnická záchranná služba Jihomoravského 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kraje,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p,o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Brno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0.8pt;margin-top:32.700000000000003pt;width:129.84999999999999pt;height:33.6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Zdravotnická záchranná služba Jihomoravského kraje, p,o. Ka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3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b/>
                          <w:bCs/>
                        </w:rPr>
                        <w:t>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4284980</wp:posOffset>
            </wp:positionH>
            <wp:positionV relativeFrom="paragraph">
              <wp:posOffset>469900</wp:posOffset>
            </wp:positionV>
            <wp:extent cx="1761490" cy="1164590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614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 xml:space="preserve">V Brně dne </w:t>
      </w:r>
      <w:proofErr w:type="gramStart"/>
      <w:r>
        <w:rPr>
          <w:rStyle w:val="Zkladntext"/>
        </w:rPr>
        <w:t>30.6.2025</w:t>
      </w:r>
      <w:proofErr w:type="gramEnd"/>
    </w:p>
    <w:p w:rsidR="00913396" w:rsidRDefault="00544760">
      <w:pPr>
        <w:pStyle w:val="Zkladntext1"/>
        <w:spacing w:after="0"/>
        <w:jc w:val="both"/>
      </w:pPr>
      <w:r>
        <w:rPr>
          <w:rStyle w:val="Zkladntext"/>
        </w:rPr>
        <w:t>MUDr. Hana Albrechtová ředitelka</w:t>
      </w:r>
    </w:p>
    <w:p w:rsidR="00913396" w:rsidRDefault="00544760">
      <w:pPr>
        <w:pStyle w:val="Zkladntext1"/>
        <w:spacing w:after="220" w:line="290" w:lineRule="auto"/>
        <w:jc w:val="both"/>
        <w:rPr>
          <w:sz w:val="19"/>
          <w:szCs w:val="19"/>
        </w:rPr>
      </w:pPr>
      <w:r>
        <w:rPr>
          <w:rStyle w:val="Zkladntext"/>
          <w:b/>
          <w:bCs/>
          <w:sz w:val="19"/>
          <w:szCs w:val="19"/>
        </w:rPr>
        <w:t>Objednatel</w:t>
      </w:r>
    </w:p>
    <w:sectPr w:rsidR="00913396">
      <w:type w:val="continuous"/>
      <w:pgSz w:w="11900" w:h="16840"/>
      <w:pgMar w:top="655" w:right="1396" w:bottom="1850" w:left="138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60" w:rsidRDefault="00544760">
      <w:r>
        <w:separator/>
      </w:r>
    </w:p>
  </w:endnote>
  <w:endnote w:type="continuationSeparator" w:id="0">
    <w:p w:rsidR="00544760" w:rsidRDefault="0054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96" w:rsidRDefault="005447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10346055</wp:posOffset>
              </wp:positionV>
              <wp:extent cx="3691255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125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3396" w:rsidRDefault="0054476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18_2025: Péče o interiérové rostliny 2025 - 2028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799999999999997pt;margin-top:814.64999999999998pt;width:290.65000000000003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18_2025: Péče o interiérové rostliny 2025 - 2028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60" w:rsidRDefault="00544760"/>
  </w:footnote>
  <w:footnote w:type="continuationSeparator" w:id="0">
    <w:p w:rsidR="00544760" w:rsidRDefault="00544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806"/>
    <w:multiLevelType w:val="multilevel"/>
    <w:tmpl w:val="4B5803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91138"/>
    <w:multiLevelType w:val="multilevel"/>
    <w:tmpl w:val="7DBE3F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D1E85"/>
    <w:multiLevelType w:val="multilevel"/>
    <w:tmpl w:val="3154AEA6"/>
    <w:lvl w:ilvl="0">
      <w:start w:val="1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96"/>
    <w:rsid w:val="0054155D"/>
    <w:rsid w:val="00544760"/>
    <w:rsid w:val="009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8E7E-44F7-4F03-A47C-3C6B15F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429FE8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w w:val="50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pacing w:line="269" w:lineRule="auto"/>
      <w:jc w:val="center"/>
    </w:pPr>
    <w:rPr>
      <w:rFonts w:ascii="Arial" w:eastAsia="Arial" w:hAnsi="Arial" w:cs="Arial"/>
      <w:b/>
      <w:bCs/>
      <w:color w:val="429FE8"/>
      <w:sz w:val="17"/>
      <w:szCs w:val="17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1009</Words>
  <Characters>5954</Characters>
  <Application>Microsoft Office Word</Application>
  <DocSecurity>0</DocSecurity>
  <Lines>49</Lines>
  <Paragraphs>13</Paragraphs>
  <ScaleCrop>false</ScaleCrop>
  <Company>HP Inc.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2025-07-11T07:41:00Z</dcterms:created>
  <dcterms:modified xsi:type="dcterms:W3CDTF">2025-07-11T07:43:00Z</dcterms:modified>
</cp:coreProperties>
</file>