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6BD3" w14:textId="7DAC70DC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49A9F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 w:rsidR="00710D36">
        <w:rPr>
          <w:sz w:val="40"/>
          <w:szCs w:val="40"/>
        </w:rPr>
        <w:t>5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F3E03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Klineckým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a</w:t>
      </w:r>
    </w:p>
    <w:p w14:paraId="43EF91F4" w14:textId="77777777" w:rsidR="00976C85" w:rsidRPr="00797B6D" w:rsidRDefault="00976C85" w:rsidP="003E0937">
      <w:pPr>
        <w:jc w:val="both"/>
        <w:rPr>
          <w:b/>
          <w:szCs w:val="24"/>
        </w:rPr>
      </w:pPr>
    </w:p>
    <w:p w14:paraId="06183A75" w14:textId="77777777" w:rsidR="009D5433" w:rsidRPr="00631F1B" w:rsidRDefault="009D5433" w:rsidP="009D5433">
      <w:pPr>
        <w:jc w:val="both"/>
        <w:rPr>
          <w:b/>
          <w:szCs w:val="24"/>
        </w:rPr>
      </w:pPr>
      <w:r w:rsidRPr="00631F1B">
        <w:rPr>
          <w:b/>
          <w:szCs w:val="24"/>
        </w:rPr>
        <w:t xml:space="preserve">Prostor plus o.p.s.  </w:t>
      </w:r>
    </w:p>
    <w:p w14:paraId="6A873F84" w14:textId="77777777" w:rsidR="009D5433" w:rsidRPr="00631F1B" w:rsidRDefault="009D5433" w:rsidP="009D5433">
      <w:pPr>
        <w:jc w:val="both"/>
        <w:rPr>
          <w:b/>
          <w:szCs w:val="24"/>
        </w:rPr>
      </w:pPr>
      <w:r w:rsidRPr="00631F1B">
        <w:rPr>
          <w:b/>
          <w:szCs w:val="24"/>
        </w:rPr>
        <w:t xml:space="preserve">se sídlem Na Pustině 1068, 280 02 Kolín </w:t>
      </w:r>
    </w:p>
    <w:p w14:paraId="619CA0D0" w14:textId="77777777" w:rsidR="009D5433" w:rsidRPr="00631F1B" w:rsidRDefault="009D5433" w:rsidP="009D5433">
      <w:pPr>
        <w:jc w:val="both"/>
        <w:rPr>
          <w:b/>
          <w:color w:val="FF0000"/>
          <w:szCs w:val="24"/>
        </w:rPr>
      </w:pPr>
      <w:r w:rsidRPr="00631F1B">
        <w:rPr>
          <w:szCs w:val="24"/>
        </w:rPr>
        <w:t xml:space="preserve">zastoupené statutárním zástupcem Mgr. Petrem Steklým      </w:t>
      </w:r>
    </w:p>
    <w:p w14:paraId="50D2410D" w14:textId="77777777" w:rsidR="009D5433" w:rsidRPr="00631F1B" w:rsidRDefault="009D5433" w:rsidP="009D5433">
      <w:pPr>
        <w:jc w:val="both"/>
        <w:rPr>
          <w:szCs w:val="24"/>
        </w:rPr>
      </w:pPr>
      <w:r w:rsidRPr="00631F1B">
        <w:rPr>
          <w:szCs w:val="24"/>
        </w:rPr>
        <w:t>IČO: 26594633</w:t>
      </w:r>
    </w:p>
    <w:p w14:paraId="2D16625F" w14:textId="77777777" w:rsidR="009D5433" w:rsidRPr="00631F1B" w:rsidRDefault="009D5433" w:rsidP="009D5433">
      <w:pPr>
        <w:jc w:val="both"/>
        <w:rPr>
          <w:szCs w:val="24"/>
        </w:rPr>
      </w:pPr>
      <w:r w:rsidRPr="00631F1B">
        <w:rPr>
          <w:szCs w:val="24"/>
        </w:rPr>
        <w:t>bankovní spojení: Česk</w:t>
      </w:r>
      <w:r>
        <w:rPr>
          <w:szCs w:val="24"/>
        </w:rPr>
        <w:t>oslovenská obchodní banka, a.s.</w:t>
      </w:r>
      <w:r w:rsidRPr="00631F1B">
        <w:rPr>
          <w:szCs w:val="24"/>
        </w:rPr>
        <w:tab/>
        <w:t xml:space="preserve">  </w:t>
      </w:r>
    </w:p>
    <w:p w14:paraId="4EC89766" w14:textId="77777777" w:rsidR="009D5433" w:rsidRPr="00631F1B" w:rsidRDefault="009D5433" w:rsidP="009D5433">
      <w:pPr>
        <w:jc w:val="both"/>
        <w:rPr>
          <w:szCs w:val="24"/>
        </w:rPr>
      </w:pPr>
      <w:r w:rsidRPr="00631F1B">
        <w:rPr>
          <w:szCs w:val="24"/>
        </w:rPr>
        <w:t xml:space="preserve">číslo účtu: </w:t>
      </w:r>
      <w:r>
        <w:rPr>
          <w:szCs w:val="24"/>
        </w:rPr>
        <w:t>323858351</w:t>
      </w:r>
      <w:r w:rsidRPr="00631F1B">
        <w:rPr>
          <w:szCs w:val="24"/>
        </w:rPr>
        <w:t>/0</w:t>
      </w:r>
      <w:r>
        <w:rPr>
          <w:szCs w:val="24"/>
        </w:rPr>
        <w:t>3</w:t>
      </w:r>
      <w:r w:rsidRPr="00631F1B">
        <w:rPr>
          <w:szCs w:val="24"/>
        </w:rPr>
        <w:t xml:space="preserve">00  </w:t>
      </w:r>
      <w:r w:rsidRPr="00631F1B">
        <w:rPr>
          <w:color w:val="FF0000"/>
          <w:szCs w:val="24"/>
        </w:rPr>
        <w:t xml:space="preserve">           </w:t>
      </w:r>
    </w:p>
    <w:p w14:paraId="2E0593E9" w14:textId="77777777" w:rsidR="00892034" w:rsidRPr="00797B6D" w:rsidRDefault="00892034" w:rsidP="00892034">
      <w:pPr>
        <w:jc w:val="both"/>
        <w:rPr>
          <w:szCs w:val="24"/>
        </w:rPr>
      </w:pPr>
      <w:r w:rsidRPr="00797B6D">
        <w:rPr>
          <w:szCs w:val="24"/>
        </w:rPr>
        <w:t>dále jen „příjemce“</w:t>
      </w:r>
    </w:p>
    <w:p w14:paraId="29638FA9" w14:textId="200905C2" w:rsidR="00E56FA3" w:rsidRPr="00E56FA3" w:rsidRDefault="00E56FA3" w:rsidP="00E56FA3">
      <w:pPr>
        <w:jc w:val="both"/>
        <w:rPr>
          <w:szCs w:val="24"/>
        </w:rPr>
      </w:pPr>
    </w:p>
    <w:p w14:paraId="3D07AD08" w14:textId="77777777" w:rsidR="003E0937" w:rsidRPr="00797B6D" w:rsidRDefault="003E0937" w:rsidP="003E0937">
      <w:pPr>
        <w:jc w:val="both"/>
        <w:rPr>
          <w:szCs w:val="24"/>
        </w:rPr>
      </w:pPr>
    </w:p>
    <w:p w14:paraId="057A5DDE" w14:textId="77777777" w:rsidR="00D00255" w:rsidRPr="00D00255" w:rsidRDefault="00D00255" w:rsidP="00D00255">
      <w:pPr>
        <w:jc w:val="both"/>
        <w:rPr>
          <w:b/>
          <w:szCs w:val="24"/>
        </w:rPr>
      </w:pPr>
      <w:r w:rsidRPr="00D00255">
        <w:rPr>
          <w:szCs w:val="24"/>
        </w:rPr>
        <w:tab/>
      </w:r>
    </w:p>
    <w:p w14:paraId="426FC8C4" w14:textId="77777777" w:rsidR="00D00255" w:rsidRPr="00D00255" w:rsidRDefault="00D00255" w:rsidP="00D00255">
      <w:pPr>
        <w:jc w:val="both"/>
        <w:rPr>
          <w:szCs w:val="24"/>
        </w:rPr>
      </w:pPr>
    </w:p>
    <w:p w14:paraId="5575ED1B" w14:textId="48C5D21B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 xml:space="preserve">v návaznosti na usnesení </w:t>
      </w:r>
      <w:r w:rsidR="00CE1083">
        <w:rPr>
          <w:szCs w:val="24"/>
        </w:rPr>
        <w:t>Zastupitelstva</w:t>
      </w:r>
      <w:r w:rsidRPr="00D00255">
        <w:rPr>
          <w:szCs w:val="24"/>
        </w:rPr>
        <w:t xml:space="preserve"> města Český Brod č. </w:t>
      </w:r>
      <w:r w:rsidR="00A133D5" w:rsidRPr="00A133D5">
        <w:rPr>
          <w:szCs w:val="24"/>
        </w:rPr>
        <w:t xml:space="preserve">0369/2025-Z </w:t>
      </w:r>
      <w:r w:rsidRPr="00D00255">
        <w:rPr>
          <w:szCs w:val="24"/>
        </w:rPr>
        <w:t xml:space="preserve">ze dne </w:t>
      </w:r>
      <w:r w:rsidR="009D5433">
        <w:rPr>
          <w:szCs w:val="24"/>
        </w:rPr>
        <w:t>23</w:t>
      </w:r>
      <w:r w:rsidR="00DB0339">
        <w:rPr>
          <w:szCs w:val="24"/>
        </w:rPr>
        <w:t xml:space="preserve">.6.2025 </w:t>
      </w:r>
      <w:r w:rsidRPr="00D00255">
        <w:rPr>
          <w:szCs w:val="24"/>
        </w:rPr>
        <w:t>o přidělení dotací v rámci Programu podpory aktivit v sociální oblasti uzavírají v souladu s § 10a zákona č.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250/2000 Sb., o rozpočtových pravidlech územních rozpočtů, ve znění pozdějších předpisů, tuto </w:t>
      </w:r>
      <w:r w:rsidRPr="00D00255">
        <w:rPr>
          <w:b/>
          <w:szCs w:val="24"/>
        </w:rPr>
        <w:t>smlouvu o poskytnutí dotace.</w:t>
      </w:r>
      <w:r w:rsidRPr="00D00255">
        <w:rPr>
          <w:szCs w:val="24"/>
        </w:rPr>
        <w:t xml:space="preserve"> </w:t>
      </w:r>
    </w:p>
    <w:p w14:paraId="2815FFD9" w14:textId="77777777" w:rsidR="00D00255" w:rsidRPr="00D00255" w:rsidRDefault="00D00255" w:rsidP="00D00255">
      <w:pPr>
        <w:spacing w:after="120" w:line="276" w:lineRule="auto"/>
        <w:jc w:val="both"/>
        <w:rPr>
          <w:b/>
          <w:i/>
          <w:szCs w:val="24"/>
        </w:rPr>
      </w:pPr>
    </w:p>
    <w:p w14:paraId="6F04F5E8" w14:textId="77777777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t>I.</w:t>
      </w:r>
    </w:p>
    <w:p w14:paraId="2C5AA976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Předmět smlouvy</w:t>
      </w:r>
    </w:p>
    <w:p w14:paraId="2D23E82A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558E53FF" w14:textId="4152F3B3" w:rsidR="00D00255" w:rsidRPr="00D00255" w:rsidRDefault="009D5433" w:rsidP="00D00255">
      <w:pPr>
        <w:spacing w:after="120" w:line="276" w:lineRule="auto"/>
        <w:rPr>
          <w:szCs w:val="24"/>
        </w:rPr>
      </w:pPr>
      <w:r>
        <w:rPr>
          <w:b/>
          <w:szCs w:val="24"/>
        </w:rPr>
        <w:t>Terénní adiktologické programy ve městě Český Brod</w:t>
      </w:r>
      <w:r w:rsidR="00976C85">
        <w:rPr>
          <w:b/>
          <w:szCs w:val="24"/>
        </w:rPr>
        <w:t>,</w:t>
      </w:r>
      <w:r w:rsidR="00D00255" w:rsidRPr="00D00255">
        <w:rPr>
          <w:b/>
          <w:szCs w:val="24"/>
        </w:rPr>
        <w:t xml:space="preserve"> </w:t>
      </w:r>
      <w:r w:rsidR="00D00255" w:rsidRPr="00D00255">
        <w:rPr>
          <w:szCs w:val="24"/>
        </w:rPr>
        <w:t>(dále jen „Projekt“)</w:t>
      </w:r>
    </w:p>
    <w:p w14:paraId="50393514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</w:p>
    <w:p w14:paraId="3DB61922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  <w:r w:rsidRPr="00D00255">
        <w:rPr>
          <w:b/>
          <w:szCs w:val="24"/>
        </w:rPr>
        <w:t xml:space="preserve">Účel dotace: </w:t>
      </w:r>
    </w:p>
    <w:p w14:paraId="0DEEF12A" w14:textId="77777777" w:rsidR="00D00255" w:rsidRDefault="00D00255" w:rsidP="00D00255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 xml:space="preserve">Provozní a mzdové výdaje spojené s pravidelnou činností organizace </w:t>
      </w:r>
    </w:p>
    <w:p w14:paraId="49358BF2" w14:textId="35BF10D8" w:rsidR="00D00255" w:rsidRPr="00D00255" w:rsidRDefault="00D00255" w:rsidP="00372B60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>Částečné pokrytí služby uvedené v tomto projektu s časovou použitelností dotace na období do 31.12.202</w:t>
      </w:r>
      <w:r w:rsidR="00E56FA3">
        <w:rPr>
          <w:szCs w:val="24"/>
        </w:rPr>
        <w:t>5</w:t>
      </w:r>
    </w:p>
    <w:p w14:paraId="05977FBD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0CCC9E50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26468E5E" w14:textId="200C23F8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lastRenderedPageBreak/>
        <w:t>II.</w:t>
      </w:r>
    </w:p>
    <w:p w14:paraId="7BD0829D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Výše a účel dotace</w:t>
      </w:r>
    </w:p>
    <w:p w14:paraId="092FB268" w14:textId="58FFE74B" w:rsidR="00D00255" w:rsidRPr="00D00255" w:rsidRDefault="00D00255" w:rsidP="00D00255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D00255">
        <w:rPr>
          <w:szCs w:val="24"/>
        </w:rPr>
        <w:t xml:space="preserve">Poskytovatel poskytne příjemci na realizaci Projektu uvedeného v článku I. dotaci ve výši </w:t>
      </w:r>
      <w:r w:rsidR="00B570C2">
        <w:rPr>
          <w:szCs w:val="24"/>
        </w:rPr>
        <w:t>1</w:t>
      </w:r>
      <w:r w:rsidR="009D5433">
        <w:rPr>
          <w:szCs w:val="24"/>
        </w:rPr>
        <w:t>2</w:t>
      </w:r>
      <w:r w:rsidR="00B570C2">
        <w:rPr>
          <w:szCs w:val="24"/>
        </w:rPr>
        <w:t>0</w:t>
      </w:r>
      <w:r w:rsidR="00A133D5">
        <w:rPr>
          <w:szCs w:val="24"/>
        </w:rPr>
        <w:t> </w:t>
      </w:r>
      <w:r w:rsidR="00DB0339">
        <w:rPr>
          <w:szCs w:val="24"/>
        </w:rPr>
        <w:t>000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Kč (slovy: </w:t>
      </w:r>
      <w:r w:rsidR="009D5433">
        <w:rPr>
          <w:szCs w:val="24"/>
        </w:rPr>
        <w:t xml:space="preserve">sto dvacet </w:t>
      </w:r>
      <w:r w:rsidR="00DB0339">
        <w:rPr>
          <w:szCs w:val="24"/>
        </w:rPr>
        <w:t>tisíc korun českých</w:t>
      </w:r>
      <w:r w:rsidRPr="00D00255">
        <w:rPr>
          <w:szCs w:val="24"/>
        </w:rPr>
        <w:t>). Dotaci poukáže poskytovatel příjemci na jeho bankovní účet uvedený v záhlaví této smlouvy do 30 dnů od nabytí účinnosti této smlouvy.</w:t>
      </w:r>
      <w:r w:rsidRPr="00D00255">
        <w:rPr>
          <w:b/>
          <w:color w:val="FF0000"/>
          <w:szCs w:val="24"/>
        </w:rPr>
        <w:t xml:space="preserve"> </w:t>
      </w:r>
      <w:r w:rsidRPr="00D00255">
        <w:rPr>
          <w:szCs w:val="24"/>
        </w:rPr>
        <w:t xml:space="preserve">Dotace je poskytována v plné výši jako neinvestiční v částce </w:t>
      </w:r>
      <w:r w:rsidR="00B570C2">
        <w:rPr>
          <w:szCs w:val="24"/>
        </w:rPr>
        <w:t>1</w:t>
      </w:r>
      <w:r w:rsidR="009D5433">
        <w:rPr>
          <w:szCs w:val="24"/>
        </w:rPr>
        <w:t>2</w:t>
      </w:r>
      <w:r w:rsidR="00B570C2">
        <w:rPr>
          <w:szCs w:val="24"/>
        </w:rPr>
        <w:t>0</w:t>
      </w:r>
      <w:r w:rsidR="00DB0339">
        <w:rPr>
          <w:szCs w:val="24"/>
        </w:rPr>
        <w:t xml:space="preserve"> 000 </w:t>
      </w:r>
      <w:r w:rsidRPr="00D00255">
        <w:rPr>
          <w:szCs w:val="24"/>
        </w:rPr>
        <w:t xml:space="preserve">Kč. </w:t>
      </w:r>
      <w:r w:rsidRPr="00D00255">
        <w:rPr>
          <w:iCs/>
          <w:szCs w:val="24"/>
        </w:rPr>
        <w:t>Tato dotace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Úř. věst.  L 7, 11. 1. 2012).</w:t>
      </w:r>
    </w:p>
    <w:p w14:paraId="05DBEC84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2.   Poskytnutí dotace a její použití je účelově vázáno na realizaci Projektu uvedeného v článku I.</w:t>
      </w: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1C7CCC28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7AB0C8AF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7F04C7FA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E56FA3">
        <w:rPr>
          <w:szCs w:val="24"/>
        </w:rPr>
        <w:t>6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lastRenderedPageBreak/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767CDAE4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</w:t>
      </w:r>
      <w:r w:rsidR="00B924A7">
        <w:rPr>
          <w:szCs w:val="24"/>
        </w:rPr>
        <w:t xml:space="preserve"> </w:t>
      </w:r>
      <w:r w:rsidRPr="00797B6D">
        <w:rPr>
          <w:szCs w:val="24"/>
        </w:rPr>
        <w:t>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Default="001C4184" w:rsidP="00FF6714">
      <w:pPr>
        <w:spacing w:after="120" w:line="276" w:lineRule="auto"/>
        <w:jc w:val="both"/>
        <w:rPr>
          <w:szCs w:val="24"/>
        </w:rPr>
      </w:pPr>
    </w:p>
    <w:p w14:paraId="54AEA31F" w14:textId="77777777" w:rsidR="00B924A7" w:rsidRDefault="00B924A7" w:rsidP="00FF6714">
      <w:pPr>
        <w:spacing w:after="120" w:line="276" w:lineRule="auto"/>
        <w:jc w:val="both"/>
        <w:rPr>
          <w:szCs w:val="24"/>
        </w:rPr>
      </w:pPr>
    </w:p>
    <w:p w14:paraId="11BDB4FE" w14:textId="77777777" w:rsidR="00B924A7" w:rsidRPr="00797B6D" w:rsidRDefault="00B924A7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77777777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 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 xml:space="preserve">4  písm. b) nebo c)  2 %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Právní vztahy touto smlouvou neupravené se řídí obecnými ustanoveními občanského zákoníku </w:t>
      </w:r>
      <w:r w:rsidR="00FA6A48" w:rsidRPr="00797B6D">
        <w:rPr>
          <w:szCs w:val="24"/>
        </w:rPr>
        <w:br/>
      </w:r>
      <w:r w:rsidRPr="00797B6D">
        <w:rPr>
          <w:szCs w:val="24"/>
        </w:rPr>
        <w:t>a dalšími právními předpisy.</w:t>
      </w:r>
    </w:p>
    <w:p w14:paraId="75FB7D4C" w14:textId="76B8427C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</w:t>
      </w:r>
      <w:r w:rsidRPr="00672B3C">
        <w:rPr>
          <w:szCs w:val="24"/>
        </w:rPr>
        <w:t xml:space="preserve">ve </w:t>
      </w:r>
      <w:r w:rsidR="005F4073" w:rsidRPr="00672B3C">
        <w:rPr>
          <w:szCs w:val="24"/>
        </w:rPr>
        <w:t xml:space="preserve">dvou </w:t>
      </w:r>
      <w:r w:rsidRPr="00672B3C">
        <w:rPr>
          <w:szCs w:val="24"/>
        </w:rPr>
        <w:t>stejnopisech</w:t>
      </w:r>
      <w:r w:rsidRPr="00797B6D">
        <w:rPr>
          <w:szCs w:val="24"/>
        </w:rPr>
        <w:t xml:space="preserve">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1C7436F6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</w:t>
      </w:r>
      <w:r w:rsidR="00FA6A48" w:rsidRPr="00797B6D">
        <w:rPr>
          <w:color w:val="000000"/>
          <w:szCs w:val="24"/>
        </w:rPr>
        <w:br/>
      </w:r>
      <w:r w:rsidRPr="00797B6D">
        <w:rPr>
          <w:color w:val="000000"/>
          <w:szCs w:val="24"/>
        </w:rPr>
        <w:t xml:space="preserve">a vážné vůle souhlasí, na </w:t>
      </w:r>
      <w:r w:rsidR="00DD1596" w:rsidRPr="00797B6D">
        <w:rPr>
          <w:color w:val="000000"/>
          <w:szCs w:val="24"/>
        </w:rPr>
        <w:t>důkaz,</w:t>
      </w:r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1ED4C34C" w14:textId="77777777" w:rsidR="008F55D4" w:rsidRDefault="008F55D4" w:rsidP="00D96D52">
      <w:pPr>
        <w:tabs>
          <w:tab w:val="left" w:pos="5220"/>
        </w:tabs>
        <w:jc w:val="both"/>
        <w:rPr>
          <w:szCs w:val="24"/>
        </w:rPr>
      </w:pPr>
    </w:p>
    <w:p w14:paraId="7968A04E" w14:textId="20E225E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77777777" w:rsidR="00A725D4" w:rsidRPr="00797B6D" w:rsidRDefault="00A725D4" w:rsidP="00D96D52">
      <w:pPr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1276C0CC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="00351EA9" w:rsidRPr="00797B6D">
        <w:rPr>
          <w:szCs w:val="24"/>
        </w:rPr>
        <w:tab/>
      </w:r>
      <w:r w:rsidR="00351EA9">
        <w:rPr>
          <w:szCs w:val="24"/>
        </w:rPr>
        <w:t xml:space="preserve"> Příjemce</w:t>
      </w:r>
    </w:p>
    <w:p w14:paraId="5B8F0CBB" w14:textId="77777777" w:rsidR="00D96D52" w:rsidRPr="00797B6D" w:rsidRDefault="00D96D52" w:rsidP="00D96D52">
      <w:pPr>
        <w:jc w:val="both"/>
        <w:rPr>
          <w:szCs w:val="24"/>
        </w:rPr>
      </w:pPr>
    </w:p>
    <w:p w14:paraId="19E842E5" w14:textId="77777777" w:rsidR="00D96D52" w:rsidRDefault="00D96D52" w:rsidP="00D96D52">
      <w:pPr>
        <w:jc w:val="both"/>
        <w:rPr>
          <w:szCs w:val="24"/>
        </w:rPr>
      </w:pPr>
    </w:p>
    <w:p w14:paraId="1DB16DB7" w14:textId="77777777" w:rsidR="00AC5941" w:rsidRDefault="00AC5941" w:rsidP="00D96D52">
      <w:pPr>
        <w:jc w:val="both"/>
        <w:rPr>
          <w:szCs w:val="24"/>
        </w:rPr>
      </w:pPr>
    </w:p>
    <w:p w14:paraId="12569071" w14:textId="77777777" w:rsidR="00AC5941" w:rsidRPr="00797B6D" w:rsidRDefault="00AC5941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5CC24471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                   </w:t>
      </w:r>
      <w:r w:rsidR="00976C85">
        <w:rPr>
          <w:szCs w:val="24"/>
        </w:rPr>
        <w:t xml:space="preserve">          </w:t>
      </w:r>
      <w:r w:rsidR="00327908">
        <w:rPr>
          <w:szCs w:val="24"/>
        </w:rPr>
        <w:t>.</w:t>
      </w:r>
      <w:r w:rsidR="00976C85">
        <w:rPr>
          <w:szCs w:val="24"/>
        </w:rPr>
        <w:t>..</w:t>
      </w:r>
      <w:r w:rsidRPr="00797B6D">
        <w:rPr>
          <w:szCs w:val="24"/>
        </w:rPr>
        <w:t>.………………………………………</w:t>
      </w:r>
    </w:p>
    <w:p w14:paraId="0AC7CDAF" w14:textId="696CFDB0" w:rsidR="00B570C2" w:rsidRPr="00E879DC" w:rsidRDefault="00EB35AB" w:rsidP="00B570C2">
      <w:pPr>
        <w:jc w:val="both"/>
        <w:rPr>
          <w:b/>
          <w:color w:val="FF0000"/>
          <w:szCs w:val="24"/>
        </w:rPr>
      </w:pPr>
      <w:r w:rsidRPr="00797B6D">
        <w:rPr>
          <w:szCs w:val="24"/>
        </w:rPr>
        <w:t xml:space="preserve">Mgr. Tomáš Klinecký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</w:t>
      </w:r>
      <w:r w:rsidR="00D75A39">
        <w:rPr>
          <w:szCs w:val="24"/>
        </w:rPr>
        <w:t xml:space="preserve"> </w:t>
      </w:r>
      <w:r w:rsidR="009D5433">
        <w:rPr>
          <w:szCs w:val="24"/>
        </w:rPr>
        <w:t xml:space="preserve">Mgr. Petr Steklý </w:t>
      </w:r>
    </w:p>
    <w:p w14:paraId="1869B167" w14:textId="19D26BD7" w:rsidR="0014362F" w:rsidRPr="00797B6D" w:rsidRDefault="0045571E" w:rsidP="0045571E">
      <w:pPr>
        <w:jc w:val="both"/>
        <w:rPr>
          <w:szCs w:val="24"/>
        </w:rPr>
      </w:pPr>
      <w:r w:rsidRPr="00797B6D">
        <w:rPr>
          <w:szCs w:val="24"/>
        </w:rPr>
        <w:t xml:space="preserve">starosta města Český Brod                              </w:t>
      </w:r>
      <w:r w:rsidR="00B570C2">
        <w:rPr>
          <w:szCs w:val="24"/>
        </w:rPr>
        <w:t xml:space="preserve">             </w:t>
      </w:r>
      <w:r w:rsidRPr="00797B6D">
        <w:rPr>
          <w:szCs w:val="24"/>
        </w:rPr>
        <w:t xml:space="preserve">  </w:t>
      </w:r>
      <w:r w:rsidR="00D75A39">
        <w:rPr>
          <w:szCs w:val="24"/>
        </w:rPr>
        <w:t xml:space="preserve"> </w:t>
      </w:r>
      <w:r w:rsidR="00B570C2">
        <w:rPr>
          <w:szCs w:val="24"/>
        </w:rPr>
        <w:t xml:space="preserve"> ředitel</w:t>
      </w:r>
      <w:r w:rsidR="009D5433">
        <w:rPr>
          <w:szCs w:val="24"/>
        </w:rPr>
        <w:t xml:space="preserve"> Prostor plus o.p.s. </w:t>
      </w:r>
      <w:r w:rsidRPr="00E879DC">
        <w:rPr>
          <w:spacing w:val="-8"/>
          <w:szCs w:val="24"/>
        </w:rPr>
        <w:t xml:space="preserve">  </w:t>
      </w:r>
    </w:p>
    <w:p w14:paraId="18C62FEF" w14:textId="77777777" w:rsidR="00D00255" w:rsidRPr="00D00255" w:rsidRDefault="00D00255" w:rsidP="00D00255">
      <w:pPr>
        <w:rPr>
          <w:b/>
          <w:szCs w:val="24"/>
        </w:rPr>
      </w:pPr>
    </w:p>
    <w:p w14:paraId="18405A58" w14:textId="5C7F2799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48005EFC" w:rsidR="001C4184" w:rsidRDefault="00AC5941" w:rsidP="001C4184">
      <w:pPr>
        <w:rPr>
          <w:szCs w:val="24"/>
        </w:rPr>
      </w:pPr>
      <w:bookmarkStart w:id="0" w:name="_Hlk170805045"/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48B646" wp14:editId="6D8575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76675" cy="22193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21C05" w14:textId="77777777" w:rsidR="00AC5941" w:rsidRDefault="00AC5941" w:rsidP="00AC594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bookmarkStart w:id="1" w:name="_Hlk164946797"/>
                            <w:bookmarkStart w:id="2" w:name="_Hlk164946798"/>
                            <w:bookmarkStart w:id="3" w:name="_Hlk184888755"/>
                            <w:bookmarkStart w:id="4" w:name="_Hlk184888756"/>
                            <w:bookmarkStart w:id="5" w:name="_Hlk199766278"/>
                            <w:bookmarkStart w:id="6" w:name="_Hlk199766279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69B9AE5A" w14:textId="77777777" w:rsidR="00AC5941" w:rsidRDefault="00AC5941" w:rsidP="00AC5941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136297ED" w14:textId="77777777" w:rsidR="00AC5941" w:rsidRDefault="00AC5941" w:rsidP="00AC594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486B21C9" w14:textId="77777777" w:rsidR="00AC5941" w:rsidRDefault="00AC5941" w:rsidP="00AC594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50FBE8D2" w14:textId="77777777" w:rsidR="00AC5941" w:rsidRDefault="00AC5941" w:rsidP="00AC594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6B1FA118" w14:textId="77777777" w:rsidR="00AC5941" w:rsidRDefault="00AC5941" w:rsidP="00AC594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77409A2" w14:textId="77777777" w:rsidR="00AC5941" w:rsidRDefault="00AC5941" w:rsidP="00AC594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ZM č. 369/2025-Z   Datum 23. 6. 2025</w:t>
                            </w:r>
                          </w:p>
                          <w:p w14:paraId="79A265B0" w14:textId="77777777" w:rsidR="00AC5941" w:rsidRDefault="00AC5941" w:rsidP="00AC594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662408F8" w14:textId="77777777" w:rsidR="00AC5941" w:rsidRDefault="00AC5941" w:rsidP="00AC594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0F791200" w14:textId="53D02172" w:rsidR="00AC5941" w:rsidRPr="004B11E1" w:rsidRDefault="00AC5941" w:rsidP="00AC594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    3</w:t>
                            </w:r>
                            <w:r w:rsidR="009B43E0"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. 6. 2025           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8B64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.05pt;width:305.25pt;height:17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">
                <v:textbox>
                  <w:txbxContent>
                    <w:p w14:paraId="18C21C05" w14:textId="77777777" w:rsidR="00AC5941" w:rsidRDefault="00AC5941" w:rsidP="00AC594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bookmarkStart w:id="7" w:name="_Hlk164946797"/>
                      <w:bookmarkStart w:id="8" w:name="_Hlk164946798"/>
                      <w:bookmarkStart w:id="9" w:name="_Hlk184888755"/>
                      <w:bookmarkStart w:id="10" w:name="_Hlk184888756"/>
                      <w:bookmarkStart w:id="11" w:name="_Hlk199766278"/>
                      <w:bookmarkStart w:id="12" w:name="_Hlk199766279"/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69B9AE5A" w14:textId="77777777" w:rsidR="00AC5941" w:rsidRDefault="00AC5941" w:rsidP="00AC5941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136297ED" w14:textId="77777777" w:rsidR="00AC5941" w:rsidRDefault="00AC5941" w:rsidP="00AC594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486B21C9" w14:textId="77777777" w:rsidR="00AC5941" w:rsidRDefault="00AC5941" w:rsidP="00AC594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50FBE8D2" w14:textId="77777777" w:rsidR="00AC5941" w:rsidRDefault="00AC5941" w:rsidP="00AC594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6B1FA118" w14:textId="77777777" w:rsidR="00AC5941" w:rsidRDefault="00AC5941" w:rsidP="00AC594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77409A2" w14:textId="77777777" w:rsidR="00AC5941" w:rsidRDefault="00AC5941" w:rsidP="00AC594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ZM č. 369/2025-Z   Datum 23. 6. 2025</w:t>
                      </w:r>
                    </w:p>
                    <w:p w14:paraId="79A265B0" w14:textId="77777777" w:rsidR="00AC5941" w:rsidRDefault="00AC5941" w:rsidP="00AC594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662408F8" w14:textId="77777777" w:rsidR="00AC5941" w:rsidRDefault="00AC5941" w:rsidP="00AC594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0F791200" w14:textId="53D02172" w:rsidR="00AC5941" w:rsidRPr="004B11E1" w:rsidRDefault="00AC5941" w:rsidP="00AC594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    3</w:t>
                      </w:r>
                      <w:r w:rsidR="009B43E0"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. 6. 2025           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  <w:bookmarkEnd w:id="0"/>
    </w:p>
    <w:p w14:paraId="6B7508D9" w14:textId="77777777" w:rsidR="00BA46D6" w:rsidRDefault="00BA46D6" w:rsidP="001C4184">
      <w:pPr>
        <w:rPr>
          <w:szCs w:val="24"/>
        </w:rPr>
      </w:pPr>
    </w:p>
    <w:p w14:paraId="69F286F3" w14:textId="7C1AAE2F" w:rsidR="00BA46D6" w:rsidRPr="00747F40" w:rsidRDefault="00BA46D6" w:rsidP="00BA46D6"/>
    <w:p w14:paraId="76804DB6" w14:textId="77777777" w:rsidR="00BA46D6" w:rsidRPr="00797B6D" w:rsidRDefault="00BA46D6" w:rsidP="001C4184">
      <w:pPr>
        <w:rPr>
          <w:szCs w:val="24"/>
        </w:rPr>
      </w:pPr>
    </w:p>
    <w:sectPr w:rsidR="00BA46D6" w:rsidRPr="00797B6D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7D15" w14:textId="77777777" w:rsidR="00886743" w:rsidRDefault="00886743">
      <w:r>
        <w:separator/>
      </w:r>
    </w:p>
  </w:endnote>
  <w:endnote w:type="continuationSeparator" w:id="0">
    <w:p w14:paraId="11B3A7E4" w14:textId="77777777" w:rsidR="00886743" w:rsidRDefault="008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1A9F" w14:textId="77777777" w:rsidR="00131A42" w:rsidRDefault="00131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A6C2" w14:textId="77777777" w:rsidR="00886743" w:rsidRDefault="00886743">
      <w:r>
        <w:separator/>
      </w:r>
    </w:p>
  </w:footnote>
  <w:footnote w:type="continuationSeparator" w:id="0">
    <w:p w14:paraId="305C7922" w14:textId="77777777" w:rsidR="00886743" w:rsidRDefault="008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20E8A722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>.</w:t>
    </w:r>
    <w:r w:rsidR="00131A42" w:rsidRPr="00131A42">
      <w:t xml:space="preserve"> </w:t>
    </w:r>
    <w:r w:rsidR="00131A42" w:rsidRPr="00131A42">
      <w:rPr>
        <w:rFonts w:ascii="Calibri" w:hAnsi="Calibri" w:cs="Calibri"/>
        <w:b/>
        <w:sz w:val="22"/>
        <w:szCs w:val="22"/>
      </w:rPr>
      <w:t>202500179</w:t>
    </w:r>
    <w:r w:rsidR="00A115E2">
      <w:rPr>
        <w:rFonts w:ascii="Calibri" w:hAnsi="Calibri" w:cs="Calibri"/>
        <w:b/>
        <w:sz w:val="22"/>
        <w:szCs w:val="22"/>
      </w:rPr>
      <w:t xml:space="preserve"> 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72F0C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51E6" w14:textId="77777777" w:rsidR="00131A42" w:rsidRDefault="00131A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2176">
    <w:abstractNumId w:val="6"/>
  </w:num>
  <w:num w:numId="2" w16cid:durableId="158158929">
    <w:abstractNumId w:val="24"/>
  </w:num>
  <w:num w:numId="3" w16cid:durableId="1282103018">
    <w:abstractNumId w:val="29"/>
  </w:num>
  <w:num w:numId="4" w16cid:durableId="998650190">
    <w:abstractNumId w:val="18"/>
  </w:num>
  <w:num w:numId="5" w16cid:durableId="1209100068">
    <w:abstractNumId w:val="20"/>
  </w:num>
  <w:num w:numId="6" w16cid:durableId="1937325110">
    <w:abstractNumId w:val="1"/>
  </w:num>
  <w:num w:numId="7" w16cid:durableId="1053232475">
    <w:abstractNumId w:val="19"/>
  </w:num>
  <w:num w:numId="8" w16cid:durableId="112746348">
    <w:abstractNumId w:val="41"/>
  </w:num>
  <w:num w:numId="9" w16cid:durableId="1905988787">
    <w:abstractNumId w:val="7"/>
  </w:num>
  <w:num w:numId="10" w16cid:durableId="930046858">
    <w:abstractNumId w:val="23"/>
  </w:num>
  <w:num w:numId="11" w16cid:durableId="1610506138">
    <w:abstractNumId w:val="11"/>
  </w:num>
  <w:num w:numId="12" w16cid:durableId="2099134264">
    <w:abstractNumId w:val="8"/>
  </w:num>
  <w:num w:numId="13" w16cid:durableId="379595774">
    <w:abstractNumId w:val="28"/>
  </w:num>
  <w:num w:numId="14" w16cid:durableId="1792170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2002807">
    <w:abstractNumId w:val="4"/>
  </w:num>
  <w:num w:numId="16" w16cid:durableId="1621111448">
    <w:abstractNumId w:val="0"/>
  </w:num>
  <w:num w:numId="17" w16cid:durableId="2118984856">
    <w:abstractNumId w:val="32"/>
  </w:num>
  <w:num w:numId="18" w16cid:durableId="1653676414">
    <w:abstractNumId w:val="12"/>
  </w:num>
  <w:num w:numId="19" w16cid:durableId="1557473182">
    <w:abstractNumId w:val="2"/>
  </w:num>
  <w:num w:numId="20" w16cid:durableId="817500718">
    <w:abstractNumId w:val="17"/>
  </w:num>
  <w:num w:numId="21" w16cid:durableId="1477839265">
    <w:abstractNumId w:val="22"/>
  </w:num>
  <w:num w:numId="22" w16cid:durableId="1036081580">
    <w:abstractNumId w:val="34"/>
  </w:num>
  <w:num w:numId="23" w16cid:durableId="673609978">
    <w:abstractNumId w:val="14"/>
  </w:num>
  <w:num w:numId="24" w16cid:durableId="827408517">
    <w:abstractNumId w:val="35"/>
  </w:num>
  <w:num w:numId="25" w16cid:durableId="431516824">
    <w:abstractNumId w:val="26"/>
  </w:num>
  <w:num w:numId="26" w16cid:durableId="594171475">
    <w:abstractNumId w:val="21"/>
  </w:num>
  <w:num w:numId="27" w16cid:durableId="1649746857">
    <w:abstractNumId w:val="16"/>
  </w:num>
  <w:num w:numId="28" w16cid:durableId="1896578222">
    <w:abstractNumId w:val="40"/>
  </w:num>
  <w:num w:numId="29" w16cid:durableId="1591084583">
    <w:abstractNumId w:val="36"/>
  </w:num>
  <w:num w:numId="30" w16cid:durableId="1339116033">
    <w:abstractNumId w:val="5"/>
  </w:num>
  <w:num w:numId="31" w16cid:durableId="1930045880">
    <w:abstractNumId w:val="3"/>
  </w:num>
  <w:num w:numId="32" w16cid:durableId="1185439658">
    <w:abstractNumId w:val="15"/>
  </w:num>
  <w:num w:numId="33" w16cid:durableId="733310514">
    <w:abstractNumId w:val="9"/>
  </w:num>
  <w:num w:numId="34" w16cid:durableId="1380399259">
    <w:abstractNumId w:val="27"/>
  </w:num>
  <w:num w:numId="35" w16cid:durableId="1189030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3531914">
    <w:abstractNumId w:val="10"/>
  </w:num>
  <w:num w:numId="37" w16cid:durableId="534318658">
    <w:abstractNumId w:val="25"/>
  </w:num>
  <w:num w:numId="38" w16cid:durableId="497037628">
    <w:abstractNumId w:val="31"/>
  </w:num>
  <w:num w:numId="39" w16cid:durableId="1021472808">
    <w:abstractNumId w:val="37"/>
  </w:num>
  <w:num w:numId="40" w16cid:durableId="225185606">
    <w:abstractNumId w:val="39"/>
  </w:num>
  <w:num w:numId="41" w16cid:durableId="1377313146">
    <w:abstractNumId w:val="38"/>
  </w:num>
  <w:num w:numId="42" w16cid:durableId="2108646855">
    <w:abstractNumId w:val="13"/>
  </w:num>
  <w:num w:numId="43" w16cid:durableId="1288512432">
    <w:abstractNumId w:val="42"/>
  </w:num>
  <w:num w:numId="44" w16cid:durableId="1216434771">
    <w:abstractNumId w:val="30"/>
  </w:num>
  <w:num w:numId="45" w16cid:durableId="16635802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79F0"/>
    <w:rsid w:val="000B1497"/>
    <w:rsid w:val="000B17B4"/>
    <w:rsid w:val="000C64EE"/>
    <w:rsid w:val="000D33F7"/>
    <w:rsid w:val="000F1551"/>
    <w:rsid w:val="000F6593"/>
    <w:rsid w:val="00103E74"/>
    <w:rsid w:val="00112716"/>
    <w:rsid w:val="00115E5C"/>
    <w:rsid w:val="00131A42"/>
    <w:rsid w:val="001326DA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B1E5F"/>
    <w:rsid w:val="001B67F0"/>
    <w:rsid w:val="001C4184"/>
    <w:rsid w:val="001D4D24"/>
    <w:rsid w:val="001E1A2A"/>
    <w:rsid w:val="001F617B"/>
    <w:rsid w:val="00201B4E"/>
    <w:rsid w:val="00211691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251E1"/>
    <w:rsid w:val="00327908"/>
    <w:rsid w:val="003354E1"/>
    <w:rsid w:val="00351EA9"/>
    <w:rsid w:val="00352535"/>
    <w:rsid w:val="003548B8"/>
    <w:rsid w:val="003574BA"/>
    <w:rsid w:val="00362D30"/>
    <w:rsid w:val="00372B60"/>
    <w:rsid w:val="003743F8"/>
    <w:rsid w:val="003A2434"/>
    <w:rsid w:val="003C01AD"/>
    <w:rsid w:val="003D1482"/>
    <w:rsid w:val="003D5174"/>
    <w:rsid w:val="003E033C"/>
    <w:rsid w:val="003E0937"/>
    <w:rsid w:val="003E7B5F"/>
    <w:rsid w:val="003F65E3"/>
    <w:rsid w:val="00402849"/>
    <w:rsid w:val="00417E63"/>
    <w:rsid w:val="0045571E"/>
    <w:rsid w:val="0046064C"/>
    <w:rsid w:val="00462302"/>
    <w:rsid w:val="00487958"/>
    <w:rsid w:val="004A0E9E"/>
    <w:rsid w:val="004A607D"/>
    <w:rsid w:val="004B11EA"/>
    <w:rsid w:val="004B2D18"/>
    <w:rsid w:val="004B4E4B"/>
    <w:rsid w:val="004C18BD"/>
    <w:rsid w:val="004C709E"/>
    <w:rsid w:val="004D509B"/>
    <w:rsid w:val="004D5920"/>
    <w:rsid w:val="004D7F1E"/>
    <w:rsid w:val="004E6481"/>
    <w:rsid w:val="004F0742"/>
    <w:rsid w:val="00500CAC"/>
    <w:rsid w:val="00504E47"/>
    <w:rsid w:val="00513FEA"/>
    <w:rsid w:val="005142E7"/>
    <w:rsid w:val="005164FB"/>
    <w:rsid w:val="00521E85"/>
    <w:rsid w:val="00532FF0"/>
    <w:rsid w:val="00533396"/>
    <w:rsid w:val="0053735D"/>
    <w:rsid w:val="00547D1D"/>
    <w:rsid w:val="005508A2"/>
    <w:rsid w:val="0055302B"/>
    <w:rsid w:val="005549EE"/>
    <w:rsid w:val="00561D23"/>
    <w:rsid w:val="00564B11"/>
    <w:rsid w:val="00572673"/>
    <w:rsid w:val="0057618E"/>
    <w:rsid w:val="005852A7"/>
    <w:rsid w:val="00586163"/>
    <w:rsid w:val="005913F3"/>
    <w:rsid w:val="00595CB0"/>
    <w:rsid w:val="005A5332"/>
    <w:rsid w:val="005B099C"/>
    <w:rsid w:val="005B104C"/>
    <w:rsid w:val="005C1745"/>
    <w:rsid w:val="005C1DC7"/>
    <w:rsid w:val="005C54BF"/>
    <w:rsid w:val="005E5CF6"/>
    <w:rsid w:val="005E5E13"/>
    <w:rsid w:val="005F4073"/>
    <w:rsid w:val="00620EB3"/>
    <w:rsid w:val="0062335E"/>
    <w:rsid w:val="0062614D"/>
    <w:rsid w:val="00631F1B"/>
    <w:rsid w:val="00633401"/>
    <w:rsid w:val="00643FBD"/>
    <w:rsid w:val="0065140C"/>
    <w:rsid w:val="00654A0B"/>
    <w:rsid w:val="00664D41"/>
    <w:rsid w:val="00671114"/>
    <w:rsid w:val="00672B3C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6E7FA9"/>
    <w:rsid w:val="00706A9C"/>
    <w:rsid w:val="0071005D"/>
    <w:rsid w:val="00710D36"/>
    <w:rsid w:val="00725EB6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07265"/>
    <w:rsid w:val="00810309"/>
    <w:rsid w:val="00810B19"/>
    <w:rsid w:val="00815075"/>
    <w:rsid w:val="00817AE1"/>
    <w:rsid w:val="008217B3"/>
    <w:rsid w:val="00832748"/>
    <w:rsid w:val="00852B8B"/>
    <w:rsid w:val="00854582"/>
    <w:rsid w:val="00871B20"/>
    <w:rsid w:val="008778F4"/>
    <w:rsid w:val="00880ED4"/>
    <w:rsid w:val="00884A54"/>
    <w:rsid w:val="00885A55"/>
    <w:rsid w:val="00886743"/>
    <w:rsid w:val="00892034"/>
    <w:rsid w:val="008A1FE5"/>
    <w:rsid w:val="008A2EB4"/>
    <w:rsid w:val="008B1AE8"/>
    <w:rsid w:val="008B439F"/>
    <w:rsid w:val="008B4B10"/>
    <w:rsid w:val="008C0E26"/>
    <w:rsid w:val="008C433D"/>
    <w:rsid w:val="008D50DB"/>
    <w:rsid w:val="008D6F14"/>
    <w:rsid w:val="008D7553"/>
    <w:rsid w:val="008F3BC2"/>
    <w:rsid w:val="008F55D4"/>
    <w:rsid w:val="009041DC"/>
    <w:rsid w:val="00907394"/>
    <w:rsid w:val="009175B6"/>
    <w:rsid w:val="00924F76"/>
    <w:rsid w:val="0093332C"/>
    <w:rsid w:val="009369AA"/>
    <w:rsid w:val="0096167A"/>
    <w:rsid w:val="00970632"/>
    <w:rsid w:val="0097563B"/>
    <w:rsid w:val="00976BB7"/>
    <w:rsid w:val="00976C85"/>
    <w:rsid w:val="009B3151"/>
    <w:rsid w:val="009B3513"/>
    <w:rsid w:val="009B43E0"/>
    <w:rsid w:val="009C19B9"/>
    <w:rsid w:val="009D5433"/>
    <w:rsid w:val="009D5E4D"/>
    <w:rsid w:val="009E122E"/>
    <w:rsid w:val="009E4AC3"/>
    <w:rsid w:val="00A02C0E"/>
    <w:rsid w:val="00A115E2"/>
    <w:rsid w:val="00A12B74"/>
    <w:rsid w:val="00A133D5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61071"/>
    <w:rsid w:val="00A70008"/>
    <w:rsid w:val="00A725D4"/>
    <w:rsid w:val="00A7724F"/>
    <w:rsid w:val="00A81CEF"/>
    <w:rsid w:val="00A82662"/>
    <w:rsid w:val="00A85AC2"/>
    <w:rsid w:val="00A9167A"/>
    <w:rsid w:val="00A92354"/>
    <w:rsid w:val="00AB160A"/>
    <w:rsid w:val="00AC4AE1"/>
    <w:rsid w:val="00AC5941"/>
    <w:rsid w:val="00AD47D1"/>
    <w:rsid w:val="00AD781A"/>
    <w:rsid w:val="00AF37A7"/>
    <w:rsid w:val="00AF4204"/>
    <w:rsid w:val="00B03404"/>
    <w:rsid w:val="00B32BD7"/>
    <w:rsid w:val="00B43D8F"/>
    <w:rsid w:val="00B46BB4"/>
    <w:rsid w:val="00B570C2"/>
    <w:rsid w:val="00B65D28"/>
    <w:rsid w:val="00B70702"/>
    <w:rsid w:val="00B76447"/>
    <w:rsid w:val="00B924A7"/>
    <w:rsid w:val="00B92822"/>
    <w:rsid w:val="00BA0C26"/>
    <w:rsid w:val="00BA16EB"/>
    <w:rsid w:val="00BA46D6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2776C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1083"/>
    <w:rsid w:val="00CE5EFC"/>
    <w:rsid w:val="00CF1BAE"/>
    <w:rsid w:val="00CF408F"/>
    <w:rsid w:val="00CF5BA6"/>
    <w:rsid w:val="00D00255"/>
    <w:rsid w:val="00D03106"/>
    <w:rsid w:val="00D05E90"/>
    <w:rsid w:val="00D17720"/>
    <w:rsid w:val="00D17E8D"/>
    <w:rsid w:val="00D26820"/>
    <w:rsid w:val="00D30A31"/>
    <w:rsid w:val="00D37681"/>
    <w:rsid w:val="00D50DF5"/>
    <w:rsid w:val="00D6470C"/>
    <w:rsid w:val="00D64F87"/>
    <w:rsid w:val="00D7123B"/>
    <w:rsid w:val="00D741E6"/>
    <w:rsid w:val="00D75A39"/>
    <w:rsid w:val="00D76D05"/>
    <w:rsid w:val="00D914F0"/>
    <w:rsid w:val="00D96D52"/>
    <w:rsid w:val="00DA64DE"/>
    <w:rsid w:val="00DB0339"/>
    <w:rsid w:val="00DB059E"/>
    <w:rsid w:val="00DB145F"/>
    <w:rsid w:val="00DC65C7"/>
    <w:rsid w:val="00DD1596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351DE"/>
    <w:rsid w:val="00E44D15"/>
    <w:rsid w:val="00E46744"/>
    <w:rsid w:val="00E56FA3"/>
    <w:rsid w:val="00E75186"/>
    <w:rsid w:val="00E8247F"/>
    <w:rsid w:val="00E82A9B"/>
    <w:rsid w:val="00E83083"/>
    <w:rsid w:val="00E840C6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D7D47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3663F"/>
    <w:rsid w:val="00F40622"/>
    <w:rsid w:val="00F5184D"/>
    <w:rsid w:val="00F57E3C"/>
    <w:rsid w:val="00F77669"/>
    <w:rsid w:val="00F92C82"/>
    <w:rsid w:val="00F9638E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1692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Fejfarova Martina</cp:lastModifiedBy>
  <cp:revision>8</cp:revision>
  <cp:lastPrinted>2024-07-08T08:32:00Z</cp:lastPrinted>
  <dcterms:created xsi:type="dcterms:W3CDTF">2025-06-05T06:31:00Z</dcterms:created>
  <dcterms:modified xsi:type="dcterms:W3CDTF">2025-06-30T07:49:00Z</dcterms:modified>
</cp:coreProperties>
</file>