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 služby Wi-Fi 100 Mb/s</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Tato Technická specifikace služeb platí pro poskytování veřejně dostupných služeb elektronických komunikací na základě Smlouvy o poskytování veřejně dostupných služeb elektronických komunikací uzavřené mezi EDERA Group a.s., se sídlem Arnošta z Pardubic 2789, Zelené Předměstí, 530 02 Pardubice, IČO 27461254 (dále jen „poskytovatel“) jako poskytovatelem a druhou osobou jako uživatelem (dále jen „Smlouva“). Technická specifikace služeb je nedílnou součástí Smlouvy.</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 technické specifikaci služby je uveden popis služby přístupu k internetu dle nařízení EU č. 2015/2120 konkrétně čl. 4 odstavec 1 d).</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Pro službu </w:t>
      </w:r>
      <w:r>
        <w:rPr>
          <w:b/>
          <w:bCs/>
          <w:color w:val="000000"/>
          <w:spacing w:val="0"/>
          <w:w w:val="100"/>
          <w:position w:val="0"/>
          <w:shd w:val="clear" w:color="auto" w:fill="auto"/>
          <w:lang w:val="cs-CZ" w:eastAsia="cs-CZ" w:bidi="cs-CZ"/>
        </w:rPr>
        <w:t xml:space="preserve">Wi-Fi 100 Mb/s </w:t>
      </w:r>
      <w:r>
        <w:rPr>
          <w:color w:val="000000"/>
          <w:spacing w:val="0"/>
          <w:w w:val="100"/>
          <w:position w:val="0"/>
          <w:shd w:val="clear" w:color="auto" w:fill="auto"/>
          <w:lang w:val="cs-CZ" w:eastAsia="cs-CZ" w:bidi="cs-CZ"/>
        </w:rPr>
        <w:t>definujeme následující výklad rychlostí ve smyslu výše uvedeného nařízení:</w:t>
      </w:r>
    </w:p>
    <w:tbl>
      <w:tblPr>
        <w:tblOverlap w:val="never"/>
        <w:jc w:val="left"/>
        <w:tblLayout w:type="fixed"/>
      </w:tblPr>
      <w:tblGrid>
        <w:gridCol w:w="1584"/>
        <w:gridCol w:w="2400"/>
        <w:gridCol w:w="2035"/>
      </w:tblGrid>
      <w:tr>
        <w:trPr>
          <w:trHeight w:val="322"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b/>
                <w:bCs/>
                <w:color w:val="000000"/>
                <w:spacing w:val="0"/>
                <w:w w:val="100"/>
                <w:position w:val="0"/>
                <w:sz w:val="15"/>
                <w:szCs w:val="15"/>
                <w:shd w:val="clear" w:color="auto" w:fill="auto"/>
                <w:lang w:val="cs-CZ" w:eastAsia="cs-CZ" w:bidi="cs-CZ"/>
              </w:rPr>
              <w:t>Rychlost</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b/>
                <w:bCs/>
                <w:color w:val="000000"/>
                <w:spacing w:val="0"/>
                <w:w w:val="100"/>
                <w:position w:val="0"/>
                <w:sz w:val="15"/>
                <w:szCs w:val="15"/>
                <w:shd w:val="clear" w:color="auto" w:fill="auto"/>
                <w:lang w:val="cs-CZ" w:eastAsia="cs-CZ" w:bidi="cs-CZ"/>
              </w:rPr>
              <w:t xml:space="preserve">Stahování </w:t>
            </w:r>
            <w:r>
              <w:rPr>
                <w:rFonts w:ascii="Verdana" w:eastAsia="Verdana" w:hAnsi="Verdana" w:cs="Verdana"/>
                <w:b/>
                <w:bCs/>
                <w:color w:val="000000"/>
                <w:spacing w:val="0"/>
                <w:w w:val="100"/>
                <w:position w:val="0"/>
                <w:sz w:val="15"/>
                <w:szCs w:val="15"/>
                <w:shd w:val="clear" w:color="auto" w:fill="auto"/>
                <w:lang w:val="en-US" w:eastAsia="en-US" w:bidi="en-US"/>
              </w:rPr>
              <w:t>(download)</w:t>
            </w:r>
          </w:p>
        </w:tc>
        <w:tc>
          <w:tcPr>
            <w:tcBorders>
              <w:top w:val="single" w:sz="4"/>
              <w:left w:val="single" w:sz="4"/>
              <w:righ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both"/>
              <w:rPr>
                <w:sz w:val="15"/>
                <w:szCs w:val="15"/>
              </w:rPr>
            </w:pPr>
            <w:r>
              <w:rPr>
                <w:rFonts w:ascii="Verdana" w:eastAsia="Verdana" w:hAnsi="Verdana" w:cs="Verdana"/>
                <w:b/>
                <w:bCs/>
                <w:color w:val="000000"/>
                <w:spacing w:val="0"/>
                <w:w w:val="100"/>
                <w:position w:val="0"/>
                <w:sz w:val="15"/>
                <w:szCs w:val="15"/>
                <w:shd w:val="clear" w:color="auto" w:fill="auto"/>
                <w:lang w:val="cs-CZ" w:eastAsia="cs-CZ" w:bidi="cs-CZ"/>
              </w:rPr>
              <w:t xml:space="preserve">Odesílání </w:t>
            </w:r>
            <w:r>
              <w:rPr>
                <w:rFonts w:ascii="Verdana" w:eastAsia="Verdana" w:hAnsi="Verdana" w:cs="Verdana"/>
                <w:b/>
                <w:bCs/>
                <w:color w:val="000000"/>
                <w:spacing w:val="0"/>
                <w:w w:val="100"/>
                <w:position w:val="0"/>
                <w:sz w:val="15"/>
                <w:szCs w:val="15"/>
                <w:shd w:val="clear" w:color="auto" w:fill="auto"/>
                <w:lang w:val="en-US" w:eastAsia="en-US" w:bidi="en-US"/>
              </w:rPr>
              <w:t>(upload)</w:t>
            </w:r>
          </w:p>
        </w:tc>
      </w:tr>
      <w:tr>
        <w:trPr>
          <w:trHeight w:val="317"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5"/>
                <w:szCs w:val="15"/>
                <w:shd w:val="clear" w:color="auto" w:fill="auto"/>
                <w:lang w:val="cs-CZ" w:eastAsia="cs-CZ" w:bidi="cs-CZ"/>
              </w:rPr>
              <w:t>Inzerovaná</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100 Mbps</w:t>
            </w:r>
          </w:p>
        </w:tc>
        <w:tc>
          <w:tcPr>
            <w:tcBorders>
              <w:top w:val="single" w:sz="4"/>
              <w:left w:val="single" w:sz="4"/>
              <w:righ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100 Mbps</w:t>
            </w:r>
          </w:p>
        </w:tc>
      </w:tr>
      <w:tr>
        <w:trPr>
          <w:trHeight w:val="317"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5"/>
                <w:szCs w:val="15"/>
                <w:shd w:val="clear" w:color="auto" w:fill="auto"/>
                <w:lang w:val="cs-CZ" w:eastAsia="cs-CZ" w:bidi="cs-CZ"/>
              </w:rPr>
              <w:t>Běžně dostupná</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60 Mbps</w:t>
            </w:r>
          </w:p>
        </w:tc>
        <w:tc>
          <w:tcPr>
            <w:tcBorders>
              <w:top w:val="single" w:sz="4"/>
              <w:left w:val="single" w:sz="4"/>
              <w:righ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60 Mbps</w:t>
            </w:r>
          </w:p>
        </w:tc>
      </w:tr>
      <w:tr>
        <w:trPr>
          <w:trHeight w:val="312" w:hRule="exact"/>
        </w:trPr>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5"/>
                <w:szCs w:val="15"/>
                <w:shd w:val="clear" w:color="auto" w:fill="auto"/>
                <w:lang w:val="cs-CZ" w:eastAsia="cs-CZ" w:bidi="cs-CZ"/>
              </w:rPr>
              <w:t>Minimální</w:t>
            </w:r>
          </w:p>
        </w:tc>
        <w:tc>
          <w:tcPr>
            <w:tcBorders>
              <w:top w:val="single" w:sz="4"/>
              <w:lef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30 Mbps</w:t>
            </w:r>
          </w:p>
        </w:tc>
        <w:tc>
          <w:tcPr>
            <w:tcBorders>
              <w:top w:val="single" w:sz="4"/>
              <w:left w:val="single" w:sz="4"/>
              <w:right w:val="single" w:sz="4"/>
            </w:tcBorders>
            <w:shd w:val="clear" w:color="auto" w:fill="auto"/>
            <w:vAlign w:val="bottom"/>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30 Mbps</w:t>
            </w:r>
          </w:p>
        </w:tc>
      </w:tr>
      <w:tr>
        <w:trPr>
          <w:trHeight w:val="326" w:hRule="exact"/>
        </w:trPr>
        <w:tc>
          <w:tcPr>
            <w:tcBorders>
              <w:top w:val="single" w:sz="4"/>
              <w:left w:val="single" w:sz="4"/>
              <w:bottom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5"/>
                <w:szCs w:val="15"/>
                <w:shd w:val="clear" w:color="auto" w:fill="auto"/>
                <w:lang w:val="cs-CZ" w:eastAsia="cs-CZ" w:bidi="cs-CZ"/>
              </w:rPr>
              <w:t>Maximální</w:t>
            </w:r>
          </w:p>
        </w:tc>
        <w:tc>
          <w:tcPr>
            <w:tcBorders>
              <w:top w:val="single" w:sz="4"/>
              <w:left w:val="single" w:sz="4"/>
              <w:bottom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100 Mbps</w:t>
            </w:r>
          </w:p>
        </w:tc>
        <w:tc>
          <w:tcPr>
            <w:tcBorders>
              <w:top w:val="single" w:sz="4"/>
              <w:left w:val="single" w:sz="4"/>
              <w:bottom w:val="single" w:sz="4"/>
              <w:right w:val="single" w:sz="4"/>
            </w:tcBorders>
            <w:shd w:val="clear" w:color="auto" w:fill="auto"/>
            <w:vAlign w:val="center"/>
          </w:tcPr>
          <w:p>
            <w:pPr>
              <w:pStyle w:val="Style9"/>
              <w:keepNext w:val="0"/>
              <w:keepLines w:val="0"/>
              <w:widowControl w:val="0"/>
              <w:shd w:val="clear" w:color="auto" w:fill="auto"/>
              <w:bidi w:val="0"/>
              <w:spacing w:before="0" w:after="0" w:line="240" w:lineRule="auto"/>
              <w:ind w:left="0" w:right="0" w:firstLine="0"/>
              <w:jc w:val="center"/>
              <w:rPr>
                <w:sz w:val="15"/>
                <w:szCs w:val="15"/>
              </w:rPr>
            </w:pPr>
            <w:r>
              <w:rPr>
                <w:rFonts w:ascii="Verdana" w:eastAsia="Verdana" w:hAnsi="Verdana" w:cs="Verdana"/>
                <w:color w:val="000000"/>
                <w:spacing w:val="0"/>
                <w:w w:val="100"/>
                <w:position w:val="0"/>
                <w:sz w:val="15"/>
                <w:szCs w:val="15"/>
                <w:shd w:val="clear" w:color="auto" w:fill="auto"/>
                <w:lang w:val="cs-CZ" w:eastAsia="cs-CZ" w:bidi="cs-CZ"/>
              </w:rPr>
              <w:t>100 Mbps</w:t>
            </w:r>
          </w:p>
        </w:tc>
      </w:tr>
    </w:tbl>
    <w:p>
      <w:pPr>
        <w:widowControl w:val="0"/>
        <w:spacing w:after="179" w:line="1" w:lineRule="exact"/>
      </w:pPr>
    </w:p>
    <w:p>
      <w:pPr>
        <w:pStyle w:val="Style4"/>
        <w:keepNext w:val="0"/>
        <w:keepLines w:val="0"/>
        <w:widowControl w:val="0"/>
        <w:shd w:val="clear" w:color="auto" w:fill="auto"/>
        <w:bidi w:val="0"/>
        <w:spacing w:before="0" w:after="0" w:line="295" w:lineRule="auto"/>
        <w:ind w:left="0" w:right="0" w:firstLine="0"/>
        <w:jc w:val="both"/>
      </w:pPr>
      <w:r>
        <w:rPr>
          <w:b/>
          <w:bCs/>
          <w:color w:val="000000"/>
          <w:spacing w:val="0"/>
          <w:w w:val="100"/>
          <w:position w:val="0"/>
          <w:shd w:val="clear" w:color="auto" w:fill="auto"/>
          <w:lang w:val="cs-CZ" w:eastAsia="cs-CZ" w:bidi="cs-CZ"/>
        </w:rPr>
        <w:t>Technická omezení služby:</w:t>
      </w:r>
    </w:p>
    <w:p>
      <w:pPr>
        <w:pStyle w:val="Style4"/>
        <w:keepNext w:val="0"/>
        <w:keepLines w:val="0"/>
        <w:widowControl w:val="0"/>
        <w:shd w:val="clear" w:color="auto" w:fill="auto"/>
        <w:bidi w:val="0"/>
        <w:spacing w:before="0" w:line="295" w:lineRule="auto"/>
        <w:ind w:left="0" w:right="0" w:firstLine="0"/>
        <w:jc w:val="both"/>
      </w:pPr>
      <w:r>
        <w:rPr>
          <w:color w:val="000000"/>
          <w:spacing w:val="0"/>
          <w:w w:val="100"/>
          <w:position w:val="0"/>
          <w:shd w:val="clear" w:color="auto" w:fill="auto"/>
          <w:lang w:val="cs-CZ" w:eastAsia="cs-CZ" w:bidi="cs-CZ"/>
        </w:rPr>
        <w:t xml:space="preserve">Přístup do sítě internet o přenosové kapacitě </w:t>
      </w:r>
      <w:r>
        <w:rPr>
          <w:b/>
          <w:bCs/>
          <w:color w:val="000000"/>
          <w:spacing w:val="0"/>
          <w:w w:val="100"/>
          <w:position w:val="0"/>
          <w:shd w:val="clear" w:color="auto" w:fill="auto"/>
          <w:lang w:val="cs-CZ" w:eastAsia="cs-CZ" w:bidi="cs-CZ"/>
        </w:rPr>
        <w:t xml:space="preserve">100 Mb/s </w:t>
      </w:r>
      <w:r>
        <w:rPr>
          <w:color w:val="000000"/>
          <w:spacing w:val="0"/>
          <w:w w:val="100"/>
          <w:position w:val="0"/>
          <w:shd w:val="clear" w:color="auto" w:fill="auto"/>
          <w:lang w:val="cs-CZ" w:eastAsia="cs-CZ" w:bidi="cs-CZ"/>
        </w:rPr>
        <w:t xml:space="preserve">je realizován po instalaci výhradně poskytovatelem dodaného koncového zařízení, kde </w:t>
      </w:r>
      <w:r>
        <w:rPr>
          <w:b/>
          <w:bCs/>
          <w:color w:val="000000"/>
          <w:spacing w:val="0"/>
          <w:w w:val="100"/>
          <w:position w:val="0"/>
          <w:shd w:val="clear" w:color="auto" w:fill="auto"/>
          <w:lang w:val="cs-CZ" w:eastAsia="cs-CZ" w:bidi="cs-CZ"/>
        </w:rPr>
        <w:t xml:space="preserve">koncovým bodem služby </w:t>
      </w:r>
      <w:r>
        <w:rPr>
          <w:color w:val="000000"/>
          <w:spacing w:val="0"/>
          <w:w w:val="100"/>
          <w:position w:val="0"/>
          <w:shd w:val="clear" w:color="auto" w:fill="auto"/>
          <w:lang w:val="cs-CZ" w:eastAsia="cs-CZ" w:bidi="cs-CZ"/>
        </w:rPr>
        <w:t>se rozumí kabel z tohoto koncového zařízení zakončený konektorem RJ45. Podmínkou je zařízení se síťovým rozhraním Ethernet. Výkon zařízení účastníka přímo ovlivňuje odezvu a rychlost služby a internetových aplikací. Poskytovatel služby neručí za možné snížení kvality a rychlosti služby vyplývající z hardwarových nebo softwarových problémů v zařízení účastníka.</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Doporučení pro dosažení maximální rychlosti služby jsou pro účastníka následující:</w:t>
      </w:r>
    </w:p>
    <w:p>
      <w:pPr>
        <w:pStyle w:val="Style4"/>
        <w:keepNext w:val="0"/>
        <w:keepLines w:val="0"/>
        <w:widowControl w:val="0"/>
        <w:numPr>
          <w:ilvl w:val="0"/>
          <w:numId w:val="1"/>
        </w:numPr>
        <w:shd w:val="clear" w:color="auto" w:fill="auto"/>
        <w:tabs>
          <w:tab w:pos="488" w:val="left"/>
        </w:tabs>
        <w:bidi w:val="0"/>
        <w:spacing w:before="0" w:after="0"/>
        <w:ind w:left="0" w:right="0" w:firstLine="240"/>
        <w:jc w:val="both"/>
      </w:pPr>
      <w:r>
        <w:rPr>
          <w:color w:val="000000"/>
          <w:spacing w:val="0"/>
          <w:w w:val="100"/>
          <w:position w:val="0"/>
          <w:shd w:val="clear" w:color="auto" w:fill="auto"/>
          <w:lang w:val="cs-CZ" w:eastAsia="cs-CZ" w:bidi="cs-CZ"/>
        </w:rPr>
        <w:t>Udržovat aktualizovaný operační systém</w:t>
      </w:r>
    </w:p>
    <w:p>
      <w:pPr>
        <w:pStyle w:val="Style4"/>
        <w:keepNext w:val="0"/>
        <w:keepLines w:val="0"/>
        <w:widowControl w:val="0"/>
        <w:numPr>
          <w:ilvl w:val="0"/>
          <w:numId w:val="1"/>
        </w:numPr>
        <w:shd w:val="clear" w:color="auto" w:fill="auto"/>
        <w:tabs>
          <w:tab w:pos="488" w:val="left"/>
        </w:tabs>
        <w:bidi w:val="0"/>
        <w:spacing w:before="0" w:after="0"/>
        <w:ind w:left="0" w:right="0" w:firstLine="240"/>
        <w:jc w:val="both"/>
      </w:pPr>
      <w:r>
        <w:rPr>
          <w:color w:val="000000"/>
          <w:spacing w:val="0"/>
          <w:w w:val="100"/>
          <w:position w:val="0"/>
          <w:shd w:val="clear" w:color="auto" w:fill="auto"/>
          <w:lang w:val="cs-CZ" w:eastAsia="cs-CZ" w:bidi="cs-CZ"/>
        </w:rPr>
        <w:t>Zajistit aktivní a aktuální antivirovou ochranu v počítači</w:t>
      </w:r>
    </w:p>
    <w:p>
      <w:pPr>
        <w:pStyle w:val="Style4"/>
        <w:keepNext w:val="0"/>
        <w:keepLines w:val="0"/>
        <w:widowControl w:val="0"/>
        <w:numPr>
          <w:ilvl w:val="0"/>
          <w:numId w:val="1"/>
        </w:numPr>
        <w:shd w:val="clear" w:color="auto" w:fill="auto"/>
        <w:tabs>
          <w:tab w:pos="488" w:val="left"/>
        </w:tabs>
        <w:bidi w:val="0"/>
        <w:spacing w:before="0"/>
        <w:ind w:left="0" w:right="0" w:firstLine="240"/>
        <w:jc w:val="both"/>
      </w:pPr>
      <w:r>
        <w:rPr>
          <w:color w:val="000000"/>
          <w:spacing w:val="0"/>
          <w:w w:val="100"/>
          <w:position w:val="0"/>
          <w:shd w:val="clear" w:color="auto" w:fill="auto"/>
          <w:lang w:val="cs-CZ" w:eastAsia="cs-CZ" w:bidi="cs-CZ"/>
        </w:rPr>
        <w:t>Používat poskytovatelem doporučená zařízení pro připojení k internetu</w:t>
      </w:r>
    </w:p>
    <w:p>
      <w:pPr>
        <w:pStyle w:val="Style4"/>
        <w:keepNext w:val="0"/>
        <w:keepLines w:val="0"/>
        <w:widowControl w:val="0"/>
        <w:shd w:val="clear" w:color="auto" w:fill="auto"/>
        <w:bidi w:val="0"/>
        <w:spacing w:before="0" w:after="0" w:line="312" w:lineRule="auto"/>
        <w:ind w:left="0" w:right="0" w:firstLine="0"/>
        <w:jc w:val="both"/>
      </w:pPr>
      <w:r>
        <w:rPr>
          <w:color w:val="000000"/>
          <w:spacing w:val="0"/>
          <w:w w:val="100"/>
          <w:position w:val="0"/>
          <w:shd w:val="clear" w:color="auto" w:fill="auto"/>
          <w:lang w:val="cs-CZ" w:eastAsia="cs-CZ" w:bidi="cs-CZ"/>
        </w:rPr>
        <w:t xml:space="preserve">Kvalitu a dostupnost služby </w:t>
      </w:r>
      <w:r>
        <w:rPr>
          <w:b/>
          <w:bCs/>
          <w:color w:val="000000"/>
          <w:spacing w:val="0"/>
          <w:w w:val="100"/>
          <w:position w:val="0"/>
          <w:shd w:val="clear" w:color="auto" w:fill="auto"/>
          <w:lang w:val="cs-CZ" w:eastAsia="cs-CZ" w:bidi="cs-CZ"/>
        </w:rPr>
        <w:t xml:space="preserve">Wi-Fi 100 Mb/s </w:t>
      </w:r>
      <w:r>
        <w:rPr>
          <w:color w:val="000000"/>
          <w:spacing w:val="0"/>
          <w:w w:val="100"/>
          <w:position w:val="0"/>
          <w:shd w:val="clear" w:color="auto" w:fill="auto"/>
          <w:lang w:val="cs-CZ" w:eastAsia="cs-CZ" w:bidi="cs-CZ"/>
        </w:rPr>
        <w:t>poskytovatel garantuje výhradně po kabelu, Wi-Fi řešení přenosu je možné, poskytovatel však není schopen technicky zajistit srovnatelnou kvalitu a dostupnost služby jako po kabelu. Připojení k internetu přes Wi-Fi router je ze své technologické podstaty a možnostmi ovlivnění okolními vlivy méně stabilní a nemusí dosahovat avizovaných rychlostí služby.</w:t>
      </w:r>
    </w:p>
    <w:p>
      <w:pPr>
        <w:pStyle w:val="Style4"/>
        <w:keepNext w:val="0"/>
        <w:keepLines w:val="0"/>
        <w:widowControl w:val="0"/>
        <w:shd w:val="clear" w:color="auto" w:fill="auto"/>
        <w:bidi w:val="0"/>
        <w:spacing w:before="0" w:after="340" w:line="312" w:lineRule="auto"/>
        <w:ind w:left="0" w:right="0" w:firstLine="0"/>
        <w:jc w:val="both"/>
      </w:pPr>
      <w:r>
        <w:rPr>
          <w:color w:val="000000"/>
          <w:spacing w:val="0"/>
          <w:w w:val="100"/>
          <w:position w:val="0"/>
          <w:shd w:val="clear" w:color="auto" w:fill="auto"/>
          <w:lang w:val="cs-CZ" w:eastAsia="cs-CZ" w:bidi="cs-CZ"/>
        </w:rPr>
        <w:t>Součástí služby je veřejná IP adresa v počtu 1 ks.</w:t>
      </w:r>
    </w:p>
    <w:p>
      <w:pPr>
        <w:pStyle w:val="Style4"/>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Doplňující podmínky pro užívání služby:</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Účastníkovi je zakázán průnik do jiných datových sítí či služeb, pro které nemá oprávnění k přístupu nebo k jejich užívání. Dále má účastník povinnost zdržet se jakýchkoliv jednání porušujících etická pravidla chování na síti internet, zejména nesmí zasílat prostřednictvím elektronické pošty nevyžádané hromadné zprávy (tzv. spamming), scanování portů, zneužívání cizích identit apod.</w:t>
      </w:r>
    </w:p>
    <w:p>
      <w:pPr>
        <w:pStyle w:val="Style4"/>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Doplňující informace:</w:t>
      </w:r>
    </w:p>
    <w:p>
      <w:pPr>
        <w:pStyle w:val="Style4"/>
        <w:keepNext w:val="0"/>
        <w:keepLines w:val="0"/>
        <w:widowControl w:val="0"/>
        <w:shd w:val="clear" w:color="auto" w:fill="auto"/>
        <w:bidi w:val="0"/>
        <w:spacing w:before="0" w:after="460"/>
        <w:ind w:left="0" w:right="0" w:firstLine="0"/>
        <w:jc w:val="both"/>
      </w:pPr>
      <w:r>
        <w:rPr>
          <w:color w:val="000000"/>
          <w:spacing w:val="0"/>
          <w:w w:val="100"/>
          <w:position w:val="0"/>
          <w:shd w:val="clear" w:color="auto" w:fill="auto"/>
          <w:lang w:val="cs-CZ" w:eastAsia="cs-CZ" w:bidi="cs-CZ"/>
        </w:rPr>
        <w:t>Poskytovatel může v případech definovaných nařízením použít prostředky přiměřeného řízení provozu, případně blokovat, omezit nebo zamezit přístup ke službě.</w:t>
      </w:r>
    </w:p>
    <w:p>
      <w:pPr>
        <w:pStyle w:val="Style4"/>
        <w:keepNext w:val="0"/>
        <w:keepLines w:val="0"/>
        <w:widowControl w:val="0"/>
        <w:pBdr>
          <w:bottom w:val="single" w:sz="4" w:space="0" w:color="auto"/>
        </w:pBdr>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EDERA Group a.s.</w:t>
      </w:r>
    </w:p>
    <w:p>
      <w:pPr>
        <w:pStyle w:val="Style4"/>
        <w:keepNext w:val="0"/>
        <w:keepLines w:val="0"/>
        <w:widowControl w:val="0"/>
        <w:shd w:val="clear" w:color="auto" w:fill="auto"/>
        <w:bidi w:val="0"/>
        <w:spacing w:before="0" w:after="460" w:line="240" w:lineRule="auto"/>
        <w:ind w:left="0" w:right="0" w:firstLine="0"/>
        <w:jc w:val="both"/>
      </w:pPr>
      <w:r>
        <w:rPr>
          <w:i/>
          <w:iCs/>
          <w:color w:val="000000"/>
          <w:spacing w:val="0"/>
          <w:w w:val="100"/>
          <w:position w:val="0"/>
          <w:shd w:val="clear" w:color="auto" w:fill="auto"/>
          <w:lang w:val="cs-CZ" w:eastAsia="cs-CZ" w:bidi="cs-CZ"/>
        </w:rPr>
        <w:t>Podpisem níže uživatel stvrzuje, že převzal jeden výtisk Technické specifikace služby, s jeho obsahem se podrobně seznámil a tento obsah akceptuje.</w:t>
      </w:r>
    </w:p>
    <w:p>
      <w:pPr>
        <w:pStyle w:val="Style4"/>
        <w:keepNext w:val="0"/>
        <w:keepLines w:val="0"/>
        <w:widowControl w:val="0"/>
        <w:shd w:val="clear" w:color="auto" w:fill="auto"/>
        <w:bidi w:val="0"/>
        <w:spacing w:before="0" w:line="240" w:lineRule="auto"/>
        <w:ind w:left="0" w:right="0" w:firstLine="0"/>
        <w:jc w:val="both"/>
      </w:pPr>
      <w:r>
        <w:rPr>
          <w:i/>
          <w:iCs/>
          <w:color w:val="000000"/>
          <w:spacing w:val="0"/>
          <w:w w:val="100"/>
          <w:position w:val="0"/>
          <w:shd w:val="clear" w:color="auto" w:fill="auto"/>
          <w:lang w:val="cs-CZ" w:eastAsia="cs-CZ" w:bidi="cs-CZ"/>
        </w:rPr>
        <w:t>V Pardubicích dne:</w:t>
      </w:r>
    </w:p>
    <w:p>
      <w:pPr>
        <w:pStyle w:val="Style4"/>
        <w:keepNext w:val="0"/>
        <w:keepLines w:val="0"/>
        <w:widowControl w:val="0"/>
        <w:shd w:val="clear" w:color="auto" w:fill="auto"/>
        <w:bidi w:val="0"/>
        <w:spacing w:before="0" w:after="660" w:line="240" w:lineRule="auto"/>
        <w:ind w:left="0" w:right="0" w:firstLine="0"/>
        <w:jc w:val="both"/>
      </w:pPr>
      <w:r>
        <w:rPr>
          <w:i/>
          <w:iCs/>
          <w:color w:val="000000"/>
          <w:spacing w:val="0"/>
          <w:w w:val="100"/>
          <w:position w:val="0"/>
          <w:shd w:val="clear" w:color="auto" w:fill="auto"/>
          <w:lang w:val="cs-CZ" w:eastAsia="cs-CZ" w:bidi="cs-CZ"/>
        </w:rPr>
        <w:t>Uživatel:</w:t>
      </w:r>
    </w:p>
    <w:p>
      <w:pPr>
        <w:pStyle w:val="Style4"/>
        <w:keepNext w:val="0"/>
        <w:keepLines w:val="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cs-CZ" w:eastAsia="cs-CZ" w:bidi="cs-CZ"/>
        </w:rPr>
        <w:t>Statutární město Pardubice, městská policie</w:t>
      </w:r>
    </w:p>
    <w:p>
      <w:pPr>
        <w:pStyle w:val="Style4"/>
        <w:keepNext w:val="0"/>
        <w:keepLines w:val="0"/>
        <w:widowControl w:val="0"/>
        <w:shd w:val="clear" w:color="auto" w:fill="auto"/>
        <w:bidi w:val="0"/>
        <w:spacing w:before="0" w:line="240" w:lineRule="auto"/>
        <w:ind w:left="0" w:right="0" w:firstLine="0"/>
        <w:jc w:val="both"/>
      </w:pPr>
      <w:r>
        <w:rPr>
          <w:i/>
          <w:iCs/>
          <w:color w:val="000000"/>
          <w:spacing w:val="0"/>
          <w:w w:val="100"/>
          <w:position w:val="0"/>
          <w:shd w:val="clear" w:color="auto" w:fill="auto"/>
          <w:lang w:val="cs-CZ" w:eastAsia="cs-CZ" w:bidi="cs-CZ"/>
        </w:rPr>
        <w:t>Zastoupená Bc. Jan Dojczar, ředitel městské policie Pardubice</w:t>
      </w:r>
    </w:p>
    <w:sectPr>
      <w:footnotePr>
        <w:pos w:val="pageBottom"/>
        <w:numFmt w:val="decimal"/>
        <w:numRestart w:val="continuous"/>
      </w:footnotePr>
      <w:pgSz w:w="11900" w:h="16840"/>
      <w:pgMar w:top="558" w:right="648" w:bottom="558" w:left="653" w:header="130" w:footer="13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3"/>
      <w:szCs w:val="13"/>
      <w:u w:val="none"/>
    </w:rPr>
  </w:style>
  <w:style w:type="character" w:customStyle="1" w:styleId="CharStyle7">
    <w:name w:val="Titulek tabulky_"/>
    <w:basedOn w:val="DefaultParagraphFont"/>
    <w:link w:val="Style6"/>
    <w:rPr>
      <w:rFonts w:ascii="Arial" w:eastAsia="Arial" w:hAnsi="Arial" w:cs="Arial"/>
      <w:b w:val="0"/>
      <w:bCs w:val="0"/>
      <w:i w:val="0"/>
      <w:iCs w:val="0"/>
      <w:smallCaps w:val="0"/>
      <w:strike w:val="0"/>
      <w:sz w:val="13"/>
      <w:szCs w:val="13"/>
      <w:u w:val="none"/>
    </w:rPr>
  </w:style>
  <w:style w:type="character" w:customStyle="1" w:styleId="CharStyle10">
    <w:name w:val="Jiné_"/>
    <w:basedOn w:val="DefaultParagraphFont"/>
    <w:link w:val="Style9"/>
    <w:rPr>
      <w:rFonts w:ascii="Arial" w:eastAsia="Arial" w:hAnsi="Arial" w:cs="Arial"/>
      <w:b w:val="0"/>
      <w:bCs w:val="0"/>
      <w:i w:val="0"/>
      <w:iCs w:val="0"/>
      <w:smallCaps w:val="0"/>
      <w:strike w:val="0"/>
      <w:sz w:val="13"/>
      <w:szCs w:val="13"/>
      <w:u w:val="none"/>
    </w:rPr>
  </w:style>
  <w:style w:type="paragraph" w:customStyle="1" w:styleId="Style2">
    <w:name w:val="Základní text (2)"/>
    <w:basedOn w:val="Normal"/>
    <w:link w:val="CharStyle3"/>
    <w:pPr>
      <w:widowControl w:val="0"/>
      <w:shd w:val="clear" w:color="auto" w:fill="auto"/>
      <w:spacing w:after="460"/>
      <w:jc w:val="center"/>
    </w:pPr>
    <w:rPr>
      <w:rFonts w:ascii="Arial" w:eastAsia="Arial" w:hAnsi="Arial" w:cs="Arial"/>
      <w:b/>
      <w:bCs/>
      <w:i w:val="0"/>
      <w:iCs w:val="0"/>
      <w:smallCaps w:val="0"/>
      <w:strike w:val="0"/>
      <w:sz w:val="28"/>
      <w:szCs w:val="28"/>
      <w:u w:val="none"/>
    </w:rPr>
  </w:style>
  <w:style w:type="paragraph" w:customStyle="1" w:styleId="Style4">
    <w:name w:val="Základní text"/>
    <w:basedOn w:val="Normal"/>
    <w:link w:val="CharStyle5"/>
    <w:pPr>
      <w:widowControl w:val="0"/>
      <w:shd w:val="clear" w:color="auto" w:fill="auto"/>
      <w:spacing w:after="180" w:line="300" w:lineRule="auto"/>
    </w:pPr>
    <w:rPr>
      <w:rFonts w:ascii="Arial" w:eastAsia="Arial" w:hAnsi="Arial" w:cs="Arial"/>
      <w:b w:val="0"/>
      <w:bCs w:val="0"/>
      <w:i w:val="0"/>
      <w:iCs w:val="0"/>
      <w:smallCaps w:val="0"/>
      <w:strike w:val="0"/>
      <w:sz w:val="13"/>
      <w:szCs w:val="13"/>
      <w:u w:val="none"/>
    </w:rPr>
  </w:style>
  <w:style w:type="paragraph" w:customStyle="1" w:styleId="Style6">
    <w:name w:val="Titulek tabulky"/>
    <w:basedOn w:val="Normal"/>
    <w:link w:val="CharStyle7"/>
    <w:pPr>
      <w:widowControl w:val="0"/>
      <w:shd w:val="clear" w:color="auto" w:fill="auto"/>
    </w:pPr>
    <w:rPr>
      <w:rFonts w:ascii="Arial" w:eastAsia="Arial" w:hAnsi="Arial" w:cs="Arial"/>
      <w:b w:val="0"/>
      <w:bCs w:val="0"/>
      <w:i w:val="0"/>
      <w:iCs w:val="0"/>
      <w:smallCaps w:val="0"/>
      <w:strike w:val="0"/>
      <w:sz w:val="13"/>
      <w:szCs w:val="13"/>
      <w:u w:val="none"/>
    </w:rPr>
  </w:style>
  <w:style w:type="paragraph" w:customStyle="1" w:styleId="Style9">
    <w:name w:val="Jiné"/>
    <w:basedOn w:val="Normal"/>
    <w:link w:val="CharStyle10"/>
    <w:pPr>
      <w:widowControl w:val="0"/>
      <w:shd w:val="clear" w:color="auto" w:fill="auto"/>
      <w:spacing w:after="180" w:line="300" w:lineRule="auto"/>
    </w:pPr>
    <w:rPr>
      <w:rFonts w:ascii="Arial" w:eastAsia="Arial" w:hAnsi="Arial" w:cs="Arial"/>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Tech. spec. WiFi 100 - Edera Helpdesk</dc:title>
  <dc:subject/>
  <dc:creator/>
  <cp:keywords/>
</cp:coreProperties>
</file>