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BD3" w14:textId="7DAC70DC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9A9F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 w:rsidR="00710D36">
        <w:rPr>
          <w:sz w:val="40"/>
          <w:szCs w:val="40"/>
        </w:rPr>
        <w:t>5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3E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a</w:t>
      </w:r>
    </w:p>
    <w:p w14:paraId="6162F063" w14:textId="77777777" w:rsidR="00447C10" w:rsidRPr="00797B6D" w:rsidRDefault="00447C10" w:rsidP="003E0937">
      <w:pPr>
        <w:jc w:val="both"/>
        <w:rPr>
          <w:b/>
          <w:szCs w:val="24"/>
        </w:rPr>
      </w:pPr>
    </w:p>
    <w:p w14:paraId="737C6FE4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b/>
          <w:szCs w:val="24"/>
        </w:rPr>
        <w:t xml:space="preserve">EDA </w:t>
      </w:r>
      <w:proofErr w:type="spellStart"/>
      <w:r w:rsidRPr="00797B6D">
        <w:rPr>
          <w:b/>
          <w:szCs w:val="24"/>
        </w:rPr>
        <w:t>cz</w:t>
      </w:r>
      <w:proofErr w:type="spellEnd"/>
      <w:r w:rsidRPr="00797B6D">
        <w:rPr>
          <w:b/>
          <w:szCs w:val="24"/>
        </w:rPr>
        <w:t xml:space="preserve">, </w:t>
      </w:r>
      <w:proofErr w:type="spellStart"/>
      <w:r w:rsidRPr="00797B6D">
        <w:rPr>
          <w:b/>
          <w:szCs w:val="24"/>
        </w:rPr>
        <w:t>z.ú</w:t>
      </w:r>
      <w:proofErr w:type="spellEnd"/>
      <w:r w:rsidRPr="00797B6D">
        <w:rPr>
          <w:b/>
          <w:szCs w:val="24"/>
        </w:rPr>
        <w:t>.</w:t>
      </w:r>
    </w:p>
    <w:p w14:paraId="07DD7F88" w14:textId="77777777" w:rsidR="00892034" w:rsidRPr="00797B6D" w:rsidRDefault="00892034" w:rsidP="00892034">
      <w:pPr>
        <w:jc w:val="both"/>
        <w:rPr>
          <w:b/>
          <w:szCs w:val="24"/>
        </w:rPr>
      </w:pPr>
      <w:r w:rsidRPr="00797B6D">
        <w:rPr>
          <w:b/>
          <w:szCs w:val="24"/>
        </w:rPr>
        <w:t xml:space="preserve">se sídlem Filipova 2013, 148 00 Praha 4 </w:t>
      </w:r>
    </w:p>
    <w:p w14:paraId="57724811" w14:textId="77777777" w:rsidR="00892034" w:rsidRPr="00797B6D" w:rsidRDefault="00892034" w:rsidP="00892034">
      <w:pPr>
        <w:jc w:val="both"/>
        <w:rPr>
          <w:b/>
          <w:color w:val="FF0000"/>
          <w:szCs w:val="24"/>
        </w:rPr>
      </w:pPr>
      <w:r w:rsidRPr="00797B6D">
        <w:rPr>
          <w:szCs w:val="24"/>
        </w:rPr>
        <w:t xml:space="preserve">zastoupené statutárním zástupcem Mgr. Petrou </w:t>
      </w:r>
      <w:proofErr w:type="spellStart"/>
      <w:r w:rsidRPr="00797B6D">
        <w:rPr>
          <w:szCs w:val="24"/>
        </w:rPr>
        <w:t>Mžourkovou</w:t>
      </w:r>
      <w:proofErr w:type="spellEnd"/>
      <w:r w:rsidRPr="00797B6D">
        <w:rPr>
          <w:szCs w:val="24"/>
        </w:rPr>
        <w:t xml:space="preserve">    </w:t>
      </w:r>
    </w:p>
    <w:p w14:paraId="56438ED7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IČO: 24743054</w:t>
      </w:r>
    </w:p>
    <w:p w14:paraId="78CB9FB3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bankovní spojení: Česká spořitelna a.s.</w:t>
      </w:r>
      <w:r w:rsidRPr="00797B6D">
        <w:rPr>
          <w:szCs w:val="24"/>
        </w:rPr>
        <w:tab/>
        <w:t xml:space="preserve">  </w:t>
      </w:r>
    </w:p>
    <w:p w14:paraId="36BA8ED0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číslo účtu: 5481081309</w:t>
      </w:r>
      <w:r w:rsidRPr="00797B6D">
        <w:rPr>
          <w:rStyle w:val="Siln"/>
          <w:b w:val="0"/>
          <w:color w:val="000000"/>
          <w:szCs w:val="24"/>
          <w:shd w:val="clear" w:color="auto" w:fill="FFFFFF"/>
        </w:rPr>
        <w:t>/0800</w:t>
      </w:r>
      <w:r w:rsidRPr="00797B6D">
        <w:rPr>
          <w:b/>
          <w:szCs w:val="24"/>
        </w:rPr>
        <w:t xml:space="preserve"> </w:t>
      </w:r>
      <w:r w:rsidRPr="00797B6D">
        <w:rPr>
          <w:szCs w:val="24"/>
        </w:rPr>
        <w:t xml:space="preserve">             </w:t>
      </w:r>
    </w:p>
    <w:p w14:paraId="2E0593E9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dále jen „příjemce“</w:t>
      </w:r>
    </w:p>
    <w:p w14:paraId="29638FA9" w14:textId="200905C2" w:rsidR="00E56FA3" w:rsidRPr="00E56FA3" w:rsidRDefault="00E56FA3" w:rsidP="00E56FA3">
      <w:pPr>
        <w:jc w:val="both"/>
        <w:rPr>
          <w:szCs w:val="24"/>
        </w:rPr>
      </w:pP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57A5DDE" w14:textId="77777777" w:rsidR="00D00255" w:rsidRPr="00D00255" w:rsidRDefault="00D00255" w:rsidP="00D00255">
      <w:pPr>
        <w:jc w:val="both"/>
        <w:rPr>
          <w:b/>
          <w:szCs w:val="24"/>
        </w:rPr>
      </w:pPr>
      <w:r w:rsidRPr="00D00255">
        <w:rPr>
          <w:szCs w:val="24"/>
        </w:rPr>
        <w:tab/>
      </w:r>
    </w:p>
    <w:p w14:paraId="426FC8C4" w14:textId="77777777" w:rsidR="00D00255" w:rsidRPr="00D00255" w:rsidRDefault="00D00255" w:rsidP="00D00255">
      <w:pPr>
        <w:jc w:val="both"/>
        <w:rPr>
          <w:szCs w:val="24"/>
        </w:rPr>
      </w:pPr>
    </w:p>
    <w:p w14:paraId="5575ED1B" w14:textId="49710514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 xml:space="preserve">v návaznosti na usnesení </w:t>
      </w:r>
      <w:r w:rsidR="00DB0339">
        <w:rPr>
          <w:szCs w:val="24"/>
        </w:rPr>
        <w:t>R</w:t>
      </w:r>
      <w:r w:rsidR="005F4073">
        <w:rPr>
          <w:szCs w:val="24"/>
        </w:rPr>
        <w:t>ady</w:t>
      </w:r>
      <w:r w:rsidRPr="00D00255">
        <w:rPr>
          <w:szCs w:val="24"/>
        </w:rPr>
        <w:t xml:space="preserve"> města Český Brod č.</w:t>
      </w:r>
      <w:r w:rsidR="008074D1">
        <w:rPr>
          <w:szCs w:val="24"/>
        </w:rPr>
        <w:t xml:space="preserve"> 0308</w:t>
      </w:r>
      <w:r w:rsidRPr="00D00255">
        <w:rPr>
          <w:szCs w:val="24"/>
        </w:rPr>
        <w:t>/202</w:t>
      </w:r>
      <w:r w:rsidR="00E56FA3">
        <w:rPr>
          <w:szCs w:val="24"/>
        </w:rPr>
        <w:t>5</w:t>
      </w:r>
      <w:r w:rsidR="008074D1">
        <w:rPr>
          <w:szCs w:val="24"/>
        </w:rPr>
        <w:t>-R</w:t>
      </w:r>
      <w:r w:rsidRPr="00D00255">
        <w:rPr>
          <w:szCs w:val="24"/>
        </w:rPr>
        <w:t xml:space="preserve"> ze dne </w:t>
      </w:r>
      <w:r w:rsidR="00DB0339">
        <w:rPr>
          <w:szCs w:val="24"/>
        </w:rPr>
        <w:t xml:space="preserve">18.6.2025 </w:t>
      </w:r>
      <w:r w:rsidRPr="00D00255">
        <w:rPr>
          <w:szCs w:val="24"/>
        </w:rPr>
        <w:t>o přidělení dotací v rámci Programu podpory aktivit v sociální oblasti uzavírají v souladu s § 10a zákona č.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250/2000 Sb., o rozpočtových pravidlech územních rozpočtů, ve znění pozdějších předpisů, tuto </w:t>
      </w:r>
      <w:r w:rsidRPr="00D00255">
        <w:rPr>
          <w:b/>
          <w:szCs w:val="24"/>
        </w:rPr>
        <w:t>smlouvu o poskytnutí dotace.</w:t>
      </w:r>
      <w:r w:rsidRPr="00D00255">
        <w:rPr>
          <w:szCs w:val="24"/>
        </w:rPr>
        <w:t xml:space="preserve"> </w:t>
      </w:r>
    </w:p>
    <w:p w14:paraId="2815FFD9" w14:textId="77777777" w:rsidR="00D00255" w:rsidRPr="00D00255" w:rsidRDefault="00D00255" w:rsidP="00D00255">
      <w:pPr>
        <w:spacing w:after="120" w:line="276" w:lineRule="auto"/>
        <w:jc w:val="both"/>
        <w:rPr>
          <w:b/>
          <w:i/>
          <w:szCs w:val="24"/>
        </w:rPr>
      </w:pPr>
    </w:p>
    <w:p w14:paraId="6F04F5E8" w14:textId="77777777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t>I.</w:t>
      </w:r>
    </w:p>
    <w:p w14:paraId="2C5AA976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Předmět smlouvy</w:t>
      </w:r>
    </w:p>
    <w:p w14:paraId="2D23E82A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558E53FF" w14:textId="2AD11FB5" w:rsidR="00D00255" w:rsidRPr="00D00255" w:rsidRDefault="008F55D4" w:rsidP="00D00255">
      <w:pPr>
        <w:spacing w:after="120" w:line="276" w:lineRule="auto"/>
        <w:rPr>
          <w:szCs w:val="24"/>
        </w:rPr>
      </w:pPr>
      <w:r>
        <w:rPr>
          <w:b/>
          <w:szCs w:val="24"/>
        </w:rPr>
        <w:t>Raná péče pro rodiny dětí se zrakovým a kombinovaným postižením</w:t>
      </w:r>
      <w:r w:rsidR="00D00255" w:rsidRPr="00D00255">
        <w:rPr>
          <w:b/>
          <w:szCs w:val="24"/>
        </w:rPr>
        <w:t xml:space="preserve">, </w:t>
      </w:r>
      <w:r w:rsidR="00D00255" w:rsidRPr="00D00255">
        <w:rPr>
          <w:szCs w:val="24"/>
        </w:rPr>
        <w:t>(dále jen „Projekt“)</w:t>
      </w:r>
    </w:p>
    <w:p w14:paraId="50393514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</w:p>
    <w:p w14:paraId="3DB61922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  <w:r w:rsidRPr="00D00255">
        <w:rPr>
          <w:b/>
          <w:szCs w:val="24"/>
        </w:rPr>
        <w:t xml:space="preserve">Účel dotace: </w:t>
      </w:r>
    </w:p>
    <w:p w14:paraId="0DEEF12A" w14:textId="77777777" w:rsidR="00D00255" w:rsidRDefault="00D00255" w:rsidP="00D00255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 xml:space="preserve">Provozní a mzdové výdaje spojené s pravidelnou činností organizace </w:t>
      </w:r>
    </w:p>
    <w:p w14:paraId="49358BF2" w14:textId="35BF10D8" w:rsidR="00D00255" w:rsidRPr="00D00255" w:rsidRDefault="00D00255" w:rsidP="00372B60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>Částečné pokrytí služby uvedené v tomto projektu s časovou použitelností dotace na období do 31.12.202</w:t>
      </w:r>
      <w:r w:rsidR="00E56FA3">
        <w:rPr>
          <w:szCs w:val="24"/>
        </w:rPr>
        <w:t>5</w:t>
      </w:r>
    </w:p>
    <w:p w14:paraId="05977FBD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0CCC9E50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26468E5E" w14:textId="200C23F8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lastRenderedPageBreak/>
        <w:t>II.</w:t>
      </w:r>
    </w:p>
    <w:p w14:paraId="7BD0829D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Výše a účel dotace</w:t>
      </w:r>
    </w:p>
    <w:p w14:paraId="092FB268" w14:textId="77EA45C0" w:rsidR="00D00255" w:rsidRPr="00D00255" w:rsidRDefault="00D00255" w:rsidP="00D00255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D00255">
        <w:rPr>
          <w:szCs w:val="24"/>
        </w:rPr>
        <w:t xml:space="preserve">Poskytovatel poskytne příjemci na realizaci Projektu uvedeného v článku I. dotaci ve výši </w:t>
      </w:r>
      <w:r w:rsidR="00DB0339">
        <w:rPr>
          <w:szCs w:val="24"/>
        </w:rPr>
        <w:t>13</w:t>
      </w:r>
      <w:r w:rsidR="00CF7EF0">
        <w:rPr>
          <w:szCs w:val="24"/>
        </w:rPr>
        <w:t> </w:t>
      </w:r>
      <w:r w:rsidR="00DB0339">
        <w:rPr>
          <w:szCs w:val="24"/>
        </w:rPr>
        <w:t>000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Kč (slovy: </w:t>
      </w:r>
      <w:r w:rsidR="00DB0339">
        <w:rPr>
          <w:szCs w:val="24"/>
        </w:rPr>
        <w:t>třináct tisíc korun českých</w:t>
      </w:r>
      <w:r w:rsidRPr="00D00255">
        <w:rPr>
          <w:szCs w:val="24"/>
        </w:rPr>
        <w:t>). Dotaci poukáže poskytovatel příjemci na jeho bankovní účet uvedený v záhlaví této smlouvy do 30 dnů od nabytí účinnosti této smlouvy.</w:t>
      </w:r>
      <w:r w:rsidRPr="00D00255">
        <w:rPr>
          <w:b/>
          <w:color w:val="FF0000"/>
          <w:szCs w:val="24"/>
        </w:rPr>
        <w:t xml:space="preserve"> </w:t>
      </w:r>
      <w:r w:rsidRPr="00D00255">
        <w:rPr>
          <w:szCs w:val="24"/>
        </w:rPr>
        <w:t xml:space="preserve">Dotace je poskytována v plné výši jako neinvestiční v částce </w:t>
      </w:r>
      <w:r w:rsidR="00DB0339">
        <w:rPr>
          <w:szCs w:val="24"/>
        </w:rPr>
        <w:t xml:space="preserve">13 000 </w:t>
      </w:r>
      <w:r w:rsidRPr="00D00255">
        <w:rPr>
          <w:szCs w:val="24"/>
        </w:rPr>
        <w:t xml:space="preserve">Kč. </w:t>
      </w:r>
      <w:r w:rsidRPr="00D00255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D00255">
        <w:rPr>
          <w:iCs/>
          <w:szCs w:val="24"/>
        </w:rPr>
        <w:t>Úř</w:t>
      </w:r>
      <w:proofErr w:type="spellEnd"/>
      <w:r w:rsidRPr="00D00255">
        <w:rPr>
          <w:iCs/>
          <w:szCs w:val="24"/>
        </w:rPr>
        <w:t xml:space="preserve">. </w:t>
      </w:r>
      <w:proofErr w:type="spellStart"/>
      <w:r w:rsidRPr="00D00255">
        <w:rPr>
          <w:iCs/>
          <w:szCs w:val="24"/>
        </w:rPr>
        <w:t>věst</w:t>
      </w:r>
      <w:proofErr w:type="spellEnd"/>
      <w:r w:rsidRPr="00D00255">
        <w:rPr>
          <w:iCs/>
          <w:szCs w:val="24"/>
        </w:rPr>
        <w:t>.  L 7, 11. 1. 2012).</w:t>
      </w:r>
    </w:p>
    <w:p w14:paraId="05DBEC84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1C7CCC2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AB0C8AF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F04C7FA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E56FA3">
        <w:rPr>
          <w:szCs w:val="24"/>
        </w:rPr>
        <w:t>6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67CDAE4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</w:t>
      </w:r>
      <w:r w:rsidR="00B924A7">
        <w:rPr>
          <w:szCs w:val="24"/>
        </w:rPr>
        <w:t xml:space="preserve"> </w:t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4AEA31F" w14:textId="77777777" w:rsidR="00B924A7" w:rsidRDefault="00B924A7" w:rsidP="00FF6714">
      <w:pPr>
        <w:spacing w:after="120" w:line="276" w:lineRule="auto"/>
        <w:jc w:val="both"/>
        <w:rPr>
          <w:szCs w:val="24"/>
        </w:rPr>
      </w:pPr>
    </w:p>
    <w:p w14:paraId="11BDB4FE" w14:textId="77777777" w:rsidR="00B924A7" w:rsidRPr="00797B6D" w:rsidRDefault="00B924A7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76B8427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</w:t>
      </w:r>
      <w:r w:rsidRPr="00672B3C">
        <w:rPr>
          <w:szCs w:val="24"/>
        </w:rPr>
        <w:t xml:space="preserve">ve </w:t>
      </w:r>
      <w:r w:rsidR="005F4073" w:rsidRPr="00672B3C">
        <w:rPr>
          <w:szCs w:val="24"/>
        </w:rPr>
        <w:t xml:space="preserve">dvou </w:t>
      </w:r>
      <w:r w:rsidRPr="00672B3C">
        <w:rPr>
          <w:szCs w:val="24"/>
        </w:rPr>
        <w:t>stejnopisech</w:t>
      </w:r>
      <w:r w:rsidRPr="00797B6D">
        <w:rPr>
          <w:szCs w:val="24"/>
        </w:rPr>
        <w:t xml:space="preserve">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1ED4C34C" w14:textId="77777777" w:rsidR="008F55D4" w:rsidRDefault="008F55D4" w:rsidP="00D96D52">
      <w:pPr>
        <w:tabs>
          <w:tab w:val="left" w:pos="5220"/>
        </w:tabs>
        <w:jc w:val="both"/>
        <w:rPr>
          <w:szCs w:val="24"/>
        </w:rPr>
      </w:pPr>
    </w:p>
    <w:p w14:paraId="7968A04E" w14:textId="20E225E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Default="00D96D52" w:rsidP="00D96D52">
      <w:pPr>
        <w:jc w:val="both"/>
        <w:rPr>
          <w:szCs w:val="24"/>
        </w:rPr>
      </w:pPr>
    </w:p>
    <w:p w14:paraId="35E629C3" w14:textId="77777777" w:rsidR="00C751CD" w:rsidRPr="00797B6D" w:rsidRDefault="00C751CD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54CD2DCE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>……………………………………………                   .………………………………………</w:t>
      </w:r>
    </w:p>
    <w:p w14:paraId="30DA0258" w14:textId="4AE8F04C" w:rsidR="00DB0339" w:rsidRPr="00797B6D" w:rsidRDefault="00EB35AB" w:rsidP="00DB0339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</w:t>
      </w:r>
      <w:r w:rsidR="00DB0339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</w:t>
      </w:r>
      <w:r w:rsidR="00DB0339" w:rsidRPr="00797B6D">
        <w:rPr>
          <w:szCs w:val="24"/>
        </w:rPr>
        <w:t xml:space="preserve">Mgr. Petra </w:t>
      </w:r>
      <w:proofErr w:type="spellStart"/>
      <w:r w:rsidR="00DB0339" w:rsidRPr="00797B6D">
        <w:rPr>
          <w:szCs w:val="24"/>
        </w:rPr>
        <w:t>Mžourková</w:t>
      </w:r>
      <w:proofErr w:type="spellEnd"/>
      <w:r w:rsidR="00DB0339" w:rsidRPr="00797B6D">
        <w:rPr>
          <w:szCs w:val="24"/>
        </w:rPr>
        <w:t xml:space="preserve">       </w:t>
      </w:r>
    </w:p>
    <w:p w14:paraId="3698BC64" w14:textId="0456D342" w:rsidR="00DB0339" w:rsidRDefault="00DB0339" w:rsidP="00DB0339">
      <w:pPr>
        <w:tabs>
          <w:tab w:val="left" w:pos="5040"/>
        </w:tabs>
        <w:ind w:left="2127" w:hanging="2127"/>
        <w:rPr>
          <w:szCs w:val="24"/>
        </w:rPr>
      </w:pPr>
      <w:r w:rsidRPr="00797B6D">
        <w:rPr>
          <w:szCs w:val="24"/>
        </w:rPr>
        <w:t xml:space="preserve">starosta města Český Brod                                                     </w:t>
      </w:r>
      <w:r>
        <w:rPr>
          <w:szCs w:val="24"/>
        </w:rPr>
        <w:t xml:space="preserve">       </w:t>
      </w:r>
      <w:r w:rsidRPr="00797B6D">
        <w:rPr>
          <w:szCs w:val="24"/>
        </w:rPr>
        <w:t xml:space="preserve">ředitelka EDA </w:t>
      </w:r>
      <w:proofErr w:type="spellStart"/>
      <w:r w:rsidRPr="00797B6D">
        <w:rPr>
          <w:szCs w:val="24"/>
        </w:rPr>
        <w:t>cz</w:t>
      </w:r>
      <w:proofErr w:type="spellEnd"/>
      <w:r w:rsidRPr="00797B6D">
        <w:rPr>
          <w:szCs w:val="24"/>
        </w:rPr>
        <w:t xml:space="preserve">, z.ú.   </w:t>
      </w:r>
    </w:p>
    <w:p w14:paraId="1FBB9B39" w14:textId="77777777" w:rsidR="00C751CD" w:rsidRDefault="00C751CD" w:rsidP="00DB0339">
      <w:pPr>
        <w:tabs>
          <w:tab w:val="left" w:pos="5040"/>
        </w:tabs>
        <w:ind w:left="2127" w:hanging="2127"/>
        <w:rPr>
          <w:szCs w:val="24"/>
        </w:rPr>
      </w:pPr>
    </w:p>
    <w:p w14:paraId="5BBA5539" w14:textId="77777777" w:rsidR="00C751CD" w:rsidRPr="00797B6D" w:rsidRDefault="00C751CD" w:rsidP="00DB0339">
      <w:pPr>
        <w:tabs>
          <w:tab w:val="left" w:pos="5040"/>
        </w:tabs>
        <w:ind w:left="2127" w:hanging="2127"/>
        <w:rPr>
          <w:b/>
          <w:szCs w:val="24"/>
        </w:rPr>
      </w:pPr>
    </w:p>
    <w:p w14:paraId="1869B167" w14:textId="1C801AAD" w:rsidR="0014362F" w:rsidRPr="00797B6D" w:rsidRDefault="00191516" w:rsidP="0014362F">
      <w:pPr>
        <w:jc w:val="both"/>
        <w:rPr>
          <w:szCs w:val="24"/>
        </w:rPr>
      </w:pPr>
      <w:r w:rsidRPr="00797B6D">
        <w:rPr>
          <w:szCs w:val="24"/>
        </w:rPr>
        <w:t xml:space="preserve">         </w:t>
      </w:r>
      <w:r w:rsidR="0014362F" w:rsidRPr="00797B6D">
        <w:rPr>
          <w:szCs w:val="24"/>
        </w:rPr>
        <w:t xml:space="preserve">    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2EADB81B" w:rsidR="00E14E87" w:rsidRDefault="00C751CD" w:rsidP="001A2342">
      <w:pPr>
        <w:tabs>
          <w:tab w:val="left" w:pos="6120"/>
        </w:tabs>
        <w:jc w:val="both"/>
        <w:rPr>
          <w:szCs w:val="24"/>
        </w:rPr>
      </w:pPr>
      <w:bookmarkStart w:id="0" w:name="_Hlk170805045"/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B8283B" wp14:editId="6033A8A7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3876675" cy="22193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6403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1" w:name="_Hlk164946797"/>
                            <w:bookmarkStart w:id="2" w:name="_Hlk164946798"/>
                            <w:bookmarkStart w:id="3" w:name="_Hlk184888755"/>
                            <w:bookmarkStart w:id="4" w:name="_Hlk184888756"/>
                            <w:bookmarkStart w:id="5" w:name="_Hlk199766278"/>
                            <w:bookmarkStart w:id="6" w:name="_Hlk199766279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8C7795E" w14:textId="77777777" w:rsidR="00C751CD" w:rsidRDefault="00C751CD" w:rsidP="00C751CD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5787E06A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12B93779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6691E530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0612402D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0534BABE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RM č. 308/2025-R   Datum 18. 6. 2025</w:t>
                            </w:r>
                          </w:p>
                          <w:p w14:paraId="52ECCDEF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61A52B87" w14:textId="77777777" w:rsidR="00C751CD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883D4DA" w14:textId="77777777" w:rsidR="00C751CD" w:rsidRPr="004B11E1" w:rsidRDefault="00C751CD" w:rsidP="00C751CD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    30. 6. 2025         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828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3pt;width:305.25pt;height:17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">
                <v:textbox>
                  <w:txbxContent>
                    <w:p w14:paraId="21D66403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7" w:name="_Hlk164946797"/>
                      <w:bookmarkStart w:id="8" w:name="_Hlk164946798"/>
                      <w:bookmarkStart w:id="9" w:name="_Hlk184888755"/>
                      <w:bookmarkStart w:id="10" w:name="_Hlk184888756"/>
                      <w:bookmarkStart w:id="11" w:name="_Hlk199766278"/>
                      <w:bookmarkStart w:id="12" w:name="_Hlk199766279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8C7795E" w14:textId="77777777" w:rsidR="00C751CD" w:rsidRDefault="00C751CD" w:rsidP="00C751CD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5787E06A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12B93779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6691E530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0612402D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0534BABE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RM č. 308/2025-R   Datum 18. 6. 2025</w:t>
                      </w:r>
                    </w:p>
                    <w:p w14:paraId="52ECCDEF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61A52B87" w14:textId="77777777" w:rsidR="00C751CD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883D4DA" w14:textId="77777777" w:rsidR="00C751CD" w:rsidRPr="004B11E1" w:rsidRDefault="00C751CD" w:rsidP="00C751CD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    30. 6. 2025         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0C5048CF" w14:textId="57D20243" w:rsidR="00C751CD" w:rsidRPr="00797B6D" w:rsidRDefault="00C751CD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Default="001C4184" w:rsidP="001C4184">
      <w:pPr>
        <w:rPr>
          <w:szCs w:val="24"/>
        </w:rPr>
      </w:pPr>
    </w:p>
    <w:p w14:paraId="6B7508D9" w14:textId="77777777" w:rsidR="00BA46D6" w:rsidRDefault="00BA46D6" w:rsidP="001C4184">
      <w:pPr>
        <w:rPr>
          <w:szCs w:val="24"/>
        </w:rPr>
      </w:pPr>
    </w:p>
    <w:p w14:paraId="69F286F3" w14:textId="7C1AAE2F" w:rsidR="00BA46D6" w:rsidRPr="00747F40" w:rsidRDefault="00BA46D6" w:rsidP="00BA46D6"/>
    <w:p w14:paraId="76804DB6" w14:textId="77777777" w:rsidR="00BA46D6" w:rsidRPr="00797B6D" w:rsidRDefault="00BA46D6" w:rsidP="001C4184">
      <w:pPr>
        <w:rPr>
          <w:szCs w:val="24"/>
        </w:rPr>
      </w:pPr>
    </w:p>
    <w:sectPr w:rsidR="00BA46D6" w:rsidRPr="00797B6D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7D15" w14:textId="77777777" w:rsidR="00886743" w:rsidRDefault="00886743">
      <w:r>
        <w:separator/>
      </w:r>
    </w:p>
  </w:endnote>
  <w:endnote w:type="continuationSeparator" w:id="0">
    <w:p w14:paraId="11B3A7E4" w14:textId="77777777" w:rsidR="00886743" w:rsidRDefault="008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6C2" w14:textId="77777777" w:rsidR="00886743" w:rsidRDefault="00886743">
      <w:r>
        <w:separator/>
      </w:r>
    </w:p>
  </w:footnote>
  <w:footnote w:type="continuationSeparator" w:id="0">
    <w:p w14:paraId="305C7922" w14:textId="77777777" w:rsidR="00886743" w:rsidRDefault="008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67986A61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A54D0B" w:rsidRPr="00A54D0B">
      <w:rPr>
        <w:rFonts w:ascii="Calibri" w:hAnsi="Calibri" w:cs="Calibri"/>
        <w:b/>
        <w:sz w:val="22"/>
        <w:szCs w:val="22"/>
      </w:rPr>
      <w:t>202500172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2F0C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2176">
    <w:abstractNumId w:val="6"/>
  </w:num>
  <w:num w:numId="2" w16cid:durableId="158158929">
    <w:abstractNumId w:val="24"/>
  </w:num>
  <w:num w:numId="3" w16cid:durableId="1282103018">
    <w:abstractNumId w:val="29"/>
  </w:num>
  <w:num w:numId="4" w16cid:durableId="998650190">
    <w:abstractNumId w:val="18"/>
  </w:num>
  <w:num w:numId="5" w16cid:durableId="1209100068">
    <w:abstractNumId w:val="20"/>
  </w:num>
  <w:num w:numId="6" w16cid:durableId="1937325110">
    <w:abstractNumId w:val="1"/>
  </w:num>
  <w:num w:numId="7" w16cid:durableId="1053232475">
    <w:abstractNumId w:val="19"/>
  </w:num>
  <w:num w:numId="8" w16cid:durableId="112746348">
    <w:abstractNumId w:val="41"/>
  </w:num>
  <w:num w:numId="9" w16cid:durableId="1905988787">
    <w:abstractNumId w:val="7"/>
  </w:num>
  <w:num w:numId="10" w16cid:durableId="930046858">
    <w:abstractNumId w:val="23"/>
  </w:num>
  <w:num w:numId="11" w16cid:durableId="1610506138">
    <w:abstractNumId w:val="11"/>
  </w:num>
  <w:num w:numId="12" w16cid:durableId="2099134264">
    <w:abstractNumId w:val="8"/>
  </w:num>
  <w:num w:numId="13" w16cid:durableId="379595774">
    <w:abstractNumId w:val="28"/>
  </w:num>
  <w:num w:numId="14" w16cid:durableId="1792170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02807">
    <w:abstractNumId w:val="4"/>
  </w:num>
  <w:num w:numId="16" w16cid:durableId="1621111448">
    <w:abstractNumId w:val="0"/>
  </w:num>
  <w:num w:numId="17" w16cid:durableId="2118984856">
    <w:abstractNumId w:val="32"/>
  </w:num>
  <w:num w:numId="18" w16cid:durableId="1653676414">
    <w:abstractNumId w:val="12"/>
  </w:num>
  <w:num w:numId="19" w16cid:durableId="1557473182">
    <w:abstractNumId w:val="2"/>
  </w:num>
  <w:num w:numId="20" w16cid:durableId="817500718">
    <w:abstractNumId w:val="17"/>
  </w:num>
  <w:num w:numId="21" w16cid:durableId="1477839265">
    <w:abstractNumId w:val="22"/>
  </w:num>
  <w:num w:numId="22" w16cid:durableId="1036081580">
    <w:abstractNumId w:val="34"/>
  </w:num>
  <w:num w:numId="23" w16cid:durableId="673609978">
    <w:abstractNumId w:val="14"/>
  </w:num>
  <w:num w:numId="24" w16cid:durableId="827408517">
    <w:abstractNumId w:val="35"/>
  </w:num>
  <w:num w:numId="25" w16cid:durableId="431516824">
    <w:abstractNumId w:val="26"/>
  </w:num>
  <w:num w:numId="26" w16cid:durableId="594171475">
    <w:abstractNumId w:val="21"/>
  </w:num>
  <w:num w:numId="27" w16cid:durableId="1649746857">
    <w:abstractNumId w:val="16"/>
  </w:num>
  <w:num w:numId="28" w16cid:durableId="1896578222">
    <w:abstractNumId w:val="40"/>
  </w:num>
  <w:num w:numId="29" w16cid:durableId="1591084583">
    <w:abstractNumId w:val="36"/>
  </w:num>
  <w:num w:numId="30" w16cid:durableId="1339116033">
    <w:abstractNumId w:val="5"/>
  </w:num>
  <w:num w:numId="31" w16cid:durableId="1930045880">
    <w:abstractNumId w:val="3"/>
  </w:num>
  <w:num w:numId="32" w16cid:durableId="1185439658">
    <w:abstractNumId w:val="15"/>
  </w:num>
  <w:num w:numId="33" w16cid:durableId="733310514">
    <w:abstractNumId w:val="9"/>
  </w:num>
  <w:num w:numId="34" w16cid:durableId="1380399259">
    <w:abstractNumId w:val="27"/>
  </w:num>
  <w:num w:numId="35" w16cid:durableId="1189030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531914">
    <w:abstractNumId w:val="10"/>
  </w:num>
  <w:num w:numId="37" w16cid:durableId="534318658">
    <w:abstractNumId w:val="25"/>
  </w:num>
  <w:num w:numId="38" w16cid:durableId="497037628">
    <w:abstractNumId w:val="31"/>
  </w:num>
  <w:num w:numId="39" w16cid:durableId="1021472808">
    <w:abstractNumId w:val="37"/>
  </w:num>
  <w:num w:numId="40" w16cid:durableId="225185606">
    <w:abstractNumId w:val="39"/>
  </w:num>
  <w:num w:numId="41" w16cid:durableId="1377313146">
    <w:abstractNumId w:val="38"/>
  </w:num>
  <w:num w:numId="42" w16cid:durableId="2108646855">
    <w:abstractNumId w:val="13"/>
  </w:num>
  <w:num w:numId="43" w16cid:durableId="1288512432">
    <w:abstractNumId w:val="42"/>
  </w:num>
  <w:num w:numId="44" w16cid:durableId="1216434771">
    <w:abstractNumId w:val="30"/>
  </w:num>
  <w:num w:numId="45" w16cid:durableId="16635802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2716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E1A2A"/>
    <w:rsid w:val="001F617B"/>
    <w:rsid w:val="00201B4E"/>
    <w:rsid w:val="00211691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2B6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47C10"/>
    <w:rsid w:val="0046064C"/>
    <w:rsid w:val="00462302"/>
    <w:rsid w:val="00487958"/>
    <w:rsid w:val="004A0E9E"/>
    <w:rsid w:val="004A607D"/>
    <w:rsid w:val="004B11EA"/>
    <w:rsid w:val="004B2D18"/>
    <w:rsid w:val="004B4E4B"/>
    <w:rsid w:val="004C18BD"/>
    <w:rsid w:val="004C709E"/>
    <w:rsid w:val="004D509B"/>
    <w:rsid w:val="004D5920"/>
    <w:rsid w:val="004D7F1E"/>
    <w:rsid w:val="004E6481"/>
    <w:rsid w:val="004E6697"/>
    <w:rsid w:val="004F0742"/>
    <w:rsid w:val="00500CAC"/>
    <w:rsid w:val="00504E47"/>
    <w:rsid w:val="00513FEA"/>
    <w:rsid w:val="005142E7"/>
    <w:rsid w:val="00521E85"/>
    <w:rsid w:val="00532FF0"/>
    <w:rsid w:val="00533396"/>
    <w:rsid w:val="0053735D"/>
    <w:rsid w:val="00547D1D"/>
    <w:rsid w:val="005508A2"/>
    <w:rsid w:val="0055302B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5F407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2B3C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10D36"/>
    <w:rsid w:val="00725EB6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074D1"/>
    <w:rsid w:val="00810309"/>
    <w:rsid w:val="00810B19"/>
    <w:rsid w:val="00815075"/>
    <w:rsid w:val="00817AE1"/>
    <w:rsid w:val="008217B3"/>
    <w:rsid w:val="00832748"/>
    <w:rsid w:val="00852B8B"/>
    <w:rsid w:val="00854582"/>
    <w:rsid w:val="00871B20"/>
    <w:rsid w:val="008778F4"/>
    <w:rsid w:val="00880ED4"/>
    <w:rsid w:val="00884A54"/>
    <w:rsid w:val="00885A55"/>
    <w:rsid w:val="00886743"/>
    <w:rsid w:val="00892034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8F55D4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54D0B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97359"/>
    <w:rsid w:val="00AB160A"/>
    <w:rsid w:val="00AC4AE1"/>
    <w:rsid w:val="00AD47D1"/>
    <w:rsid w:val="00AD781A"/>
    <w:rsid w:val="00AF37A7"/>
    <w:rsid w:val="00AF4204"/>
    <w:rsid w:val="00B03404"/>
    <w:rsid w:val="00B32BD7"/>
    <w:rsid w:val="00B43D8F"/>
    <w:rsid w:val="00B46BB4"/>
    <w:rsid w:val="00B65D28"/>
    <w:rsid w:val="00B70702"/>
    <w:rsid w:val="00B76447"/>
    <w:rsid w:val="00B924A7"/>
    <w:rsid w:val="00B92822"/>
    <w:rsid w:val="00BA46D6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2776C"/>
    <w:rsid w:val="00C40629"/>
    <w:rsid w:val="00C40F24"/>
    <w:rsid w:val="00C51F16"/>
    <w:rsid w:val="00C5261D"/>
    <w:rsid w:val="00C56E96"/>
    <w:rsid w:val="00C751CD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CF7EF0"/>
    <w:rsid w:val="00D00255"/>
    <w:rsid w:val="00D03106"/>
    <w:rsid w:val="00D05E90"/>
    <w:rsid w:val="00D17E8D"/>
    <w:rsid w:val="00D26820"/>
    <w:rsid w:val="00D37681"/>
    <w:rsid w:val="00D50DF5"/>
    <w:rsid w:val="00D6470C"/>
    <w:rsid w:val="00D64F87"/>
    <w:rsid w:val="00D7123B"/>
    <w:rsid w:val="00D741E6"/>
    <w:rsid w:val="00D76D05"/>
    <w:rsid w:val="00D914F0"/>
    <w:rsid w:val="00D96D52"/>
    <w:rsid w:val="00DA64DE"/>
    <w:rsid w:val="00DB0339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351DE"/>
    <w:rsid w:val="00E44D15"/>
    <w:rsid w:val="00E46744"/>
    <w:rsid w:val="00E56FA3"/>
    <w:rsid w:val="00E8247F"/>
    <w:rsid w:val="00E82A9B"/>
    <w:rsid w:val="00E83083"/>
    <w:rsid w:val="00E840C6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D7D47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3663F"/>
    <w:rsid w:val="00F40622"/>
    <w:rsid w:val="00F5184D"/>
    <w:rsid w:val="00F57E3C"/>
    <w:rsid w:val="00F77669"/>
    <w:rsid w:val="00F92C82"/>
    <w:rsid w:val="00F9638E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1693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Fejfarova Martina</cp:lastModifiedBy>
  <cp:revision>10</cp:revision>
  <cp:lastPrinted>2024-07-08T08:32:00Z</cp:lastPrinted>
  <dcterms:created xsi:type="dcterms:W3CDTF">2025-06-04T06:59:00Z</dcterms:created>
  <dcterms:modified xsi:type="dcterms:W3CDTF">2025-06-30T07:47:00Z</dcterms:modified>
</cp:coreProperties>
</file>