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03D3CF6B" w:rsidR="00EC2715" w:rsidRPr="0027788C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absorpční kapacity obcí Zlínského kraje na území MAS </w:t>
      </w:r>
      <w:r w:rsidR="00ED5F7E" w:rsidRPr="0027788C">
        <w:rPr>
          <w:b/>
          <w:bCs/>
          <w:sz w:val="22"/>
        </w:rPr>
        <w:t>č. D/</w:t>
      </w:r>
      <w:r w:rsidR="004D75F1" w:rsidRPr="0027788C">
        <w:rPr>
          <w:b/>
          <w:bCs/>
          <w:sz w:val="22"/>
        </w:rPr>
        <w:t>2660</w:t>
      </w:r>
      <w:r w:rsidR="00ED5F7E" w:rsidRPr="0027788C">
        <w:rPr>
          <w:b/>
          <w:bCs/>
          <w:sz w:val="22"/>
        </w:rPr>
        <w:t>/2025/STR</w:t>
      </w:r>
    </w:p>
    <w:p w14:paraId="0B75E84A" w14:textId="0E1B7906" w:rsidR="00C07E9C" w:rsidRPr="0027788C" w:rsidRDefault="00C07E9C" w:rsidP="00DE6B14">
      <w:pPr>
        <w:spacing w:line="252" w:lineRule="auto"/>
      </w:pPr>
      <w:r w:rsidRPr="0027788C">
        <w:t xml:space="preserve">uzavřená v souladu s ustanovením § 1746 odst. 2 zák. 89/2012 Sb., občanský zákoník </w:t>
      </w:r>
      <w:r w:rsidR="00FA0336" w:rsidRPr="0027788C">
        <w:br/>
      </w:r>
      <w:r w:rsidRPr="0027788C">
        <w:t>(dále jen „Občanský zákoník“),</w:t>
      </w:r>
    </w:p>
    <w:p w14:paraId="04017FC7" w14:textId="77777777" w:rsidR="00B43134" w:rsidRPr="0027788C" w:rsidRDefault="00B43134" w:rsidP="00DE6B14">
      <w:pPr>
        <w:pStyle w:val="Bezmezer"/>
        <w:spacing w:before="360" w:after="360" w:line="252" w:lineRule="auto"/>
        <w:jc w:val="center"/>
      </w:pPr>
      <w:r w:rsidRPr="0027788C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27788C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Objednatel</w:t>
            </w:r>
            <w:r w:rsidR="00FA0336" w:rsidRPr="0027788C">
              <w:t>em</w:t>
            </w:r>
            <w:r w:rsidRPr="0027788C">
              <w:t>:</w:t>
            </w:r>
          </w:p>
        </w:tc>
        <w:tc>
          <w:tcPr>
            <w:tcW w:w="6940" w:type="dxa"/>
          </w:tcPr>
          <w:p w14:paraId="43A1AB99" w14:textId="77777777" w:rsidR="00B43134" w:rsidRPr="0027788C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27788C">
              <w:rPr>
                <w:b/>
                <w:bCs/>
              </w:rPr>
              <w:t>Zlínský kraj</w:t>
            </w:r>
          </w:p>
          <w:p w14:paraId="2C40E4ED" w14:textId="2C231D45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sídlo: tř. T. Bati 21, PSČ 761 90 Zlín</w:t>
            </w:r>
          </w:p>
          <w:p w14:paraId="4B8F1337" w14:textId="77777777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IČO: 70891320</w:t>
            </w:r>
          </w:p>
          <w:p w14:paraId="509B117E" w14:textId="45837294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 xml:space="preserve">zastoupen: Ing. Radim Holiš, hejtman </w:t>
            </w:r>
          </w:p>
          <w:p w14:paraId="20F68A63" w14:textId="521A30BF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bankovní spojení:</w:t>
            </w:r>
            <w:r w:rsidRPr="0027788C">
              <w:rPr>
                <w:rFonts w:cs="Arial"/>
                <w:szCs w:val="20"/>
              </w:rPr>
              <w:t xml:space="preserve"> </w:t>
            </w:r>
            <w:r w:rsidR="003A6DF4" w:rsidRPr="0027788C">
              <w:t xml:space="preserve">Česká spořitelna, a.s., </w:t>
            </w:r>
            <w:proofErr w:type="spellStart"/>
            <w:r w:rsidR="003A6DF4" w:rsidRPr="0027788C">
              <w:t>č.ú</w:t>
            </w:r>
            <w:proofErr w:type="spellEnd"/>
            <w:r w:rsidR="003A6DF4" w:rsidRPr="0027788C">
              <w:t xml:space="preserve">. </w:t>
            </w:r>
            <w:r w:rsidR="00467AE4" w:rsidRPr="0027788C">
              <w:t>2786182/0800</w:t>
            </w:r>
          </w:p>
          <w:p w14:paraId="7CF50D7D" w14:textId="3FF479EF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(dále jen „</w:t>
            </w:r>
            <w:r w:rsidRPr="0027788C">
              <w:rPr>
                <w:b/>
              </w:rPr>
              <w:t>Objednatel</w:t>
            </w:r>
            <w:r w:rsidRPr="0027788C">
              <w:t>“)</w:t>
            </w:r>
          </w:p>
        </w:tc>
      </w:tr>
    </w:tbl>
    <w:p w14:paraId="61DE45DA" w14:textId="77777777" w:rsidR="00B43134" w:rsidRPr="0027788C" w:rsidRDefault="00B43134" w:rsidP="00DE6B14">
      <w:pPr>
        <w:pStyle w:val="Bezmezer"/>
        <w:spacing w:before="240" w:after="240" w:line="252" w:lineRule="auto"/>
        <w:ind w:left="2211"/>
      </w:pPr>
      <w:r w:rsidRPr="0027788C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27788C" w:rsidRDefault="00B43134" w:rsidP="00DE6B14">
            <w:pPr>
              <w:pStyle w:val="Bezmezer"/>
              <w:spacing w:line="252" w:lineRule="auto"/>
            </w:pPr>
            <w:r w:rsidRPr="0027788C">
              <w:t>Zpracovatel</w:t>
            </w:r>
            <w:r w:rsidR="00FA0336" w:rsidRPr="0027788C">
              <w:t>em</w:t>
            </w:r>
            <w:r w:rsidRPr="0027788C">
              <w:t>:</w:t>
            </w:r>
          </w:p>
        </w:tc>
        <w:tc>
          <w:tcPr>
            <w:tcW w:w="6940" w:type="dxa"/>
          </w:tcPr>
          <w:p w14:paraId="62C6C4EC" w14:textId="77777777" w:rsidR="007169F4" w:rsidRPr="0027788C" w:rsidRDefault="007169F4" w:rsidP="007169F4">
            <w:pPr>
              <w:pStyle w:val="Bezmezer"/>
              <w:spacing w:line="276" w:lineRule="auto"/>
              <w:rPr>
                <w:b/>
              </w:rPr>
            </w:pPr>
            <w:r w:rsidRPr="0027788C">
              <w:rPr>
                <w:b/>
              </w:rPr>
              <w:t>MAS Buchlov, z. s.</w:t>
            </w:r>
          </w:p>
          <w:p w14:paraId="35A28F23" w14:textId="77777777" w:rsidR="00EF2CA7" w:rsidRPr="0027788C" w:rsidRDefault="00EF2CA7" w:rsidP="00EF2CA7">
            <w:pPr>
              <w:pStyle w:val="Bezmezer"/>
              <w:spacing w:line="276" w:lineRule="auto"/>
            </w:pPr>
            <w:r w:rsidRPr="0027788C">
              <w:t>sídlo: Masarykova 273, 687 08 Buchlovice</w:t>
            </w:r>
          </w:p>
          <w:p w14:paraId="0DDDDF67" w14:textId="77777777" w:rsidR="002D1E6A" w:rsidRPr="0027788C" w:rsidRDefault="002D1E6A" w:rsidP="002D1E6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7788C">
              <w:t>IČO: 26662698</w:t>
            </w:r>
          </w:p>
          <w:p w14:paraId="317FC553" w14:textId="77777777" w:rsidR="00B4767B" w:rsidRPr="0027788C" w:rsidRDefault="00B4767B" w:rsidP="00B4767B">
            <w:pPr>
              <w:pStyle w:val="Bezmezer"/>
              <w:spacing w:line="276" w:lineRule="auto"/>
            </w:pPr>
            <w:r w:rsidRPr="0027788C">
              <w:t xml:space="preserve">zastoupen: Jitka </w:t>
            </w:r>
            <w:proofErr w:type="spellStart"/>
            <w:r w:rsidRPr="0027788C">
              <w:t>Točková</w:t>
            </w:r>
            <w:proofErr w:type="spellEnd"/>
            <w:r w:rsidRPr="0027788C">
              <w:t>, předsedkyně</w:t>
            </w:r>
          </w:p>
          <w:p w14:paraId="74490376" w14:textId="77777777" w:rsidR="00AC7C49" w:rsidRPr="0027788C" w:rsidRDefault="00AC7C49" w:rsidP="00AC7C49">
            <w:pPr>
              <w:pStyle w:val="Bezmezer"/>
              <w:spacing w:line="276" w:lineRule="auto"/>
            </w:pPr>
            <w:r w:rsidRPr="0027788C">
              <w:t xml:space="preserve">bankovní spojení: Česká spořitelna, a. s., č. </w:t>
            </w:r>
            <w:proofErr w:type="spellStart"/>
            <w:r w:rsidRPr="0027788C">
              <w:t>ú.</w:t>
            </w:r>
            <w:proofErr w:type="spellEnd"/>
            <w:r w:rsidRPr="0027788C">
              <w:t xml:space="preserve"> 1548322309/0800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27788C">
              <w:t>(dále jen „</w:t>
            </w:r>
            <w:r w:rsidRPr="0027788C">
              <w:rPr>
                <w:b/>
              </w:rPr>
              <w:t>Zpracovatel</w:t>
            </w:r>
            <w:r w:rsidRPr="0027788C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 xml:space="preserve"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</w:t>
      </w:r>
      <w:proofErr w:type="gramStart"/>
      <w:r w:rsidRPr="009649BB">
        <w:rPr>
          <w:rStyle w:val="Styl1Char"/>
        </w:rPr>
        <w:t>MV - GŘ</w:t>
      </w:r>
      <w:proofErr w:type="gramEnd"/>
      <w:r w:rsidRPr="009649BB">
        <w:rPr>
          <w:rStyle w:val="Styl1Char"/>
        </w:rPr>
        <w:t xml:space="preserve">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proofErr w:type="gramStart"/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proofErr w:type="gramEnd"/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proofErr w:type="spellStart"/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</w:t>
      </w:r>
      <w:proofErr w:type="spellEnd"/>
      <w:r w:rsidR="00463B71" w:rsidRPr="00A74D7F">
        <w:rPr>
          <w:spacing w:val="-2"/>
        </w:rPr>
        <w:t>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6C8D06DF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A93017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ab/>
        <w:t xml:space="preserve"> </w:t>
      </w:r>
    </w:p>
    <w:p w14:paraId="572BDF14" w14:textId="32C5E071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="00A93017">
        <w:rPr>
          <w:rFonts w:cs="Arial"/>
          <w:szCs w:val="20"/>
        </w:rPr>
        <w:t xml:space="preserve"> 09. 06. 2025</w:t>
      </w:r>
      <w:r w:rsidRPr="00B35627">
        <w:rPr>
          <w:rFonts w:cs="Arial"/>
          <w:szCs w:val="20"/>
        </w:rPr>
        <w:tab/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A93017">
        <w:rPr>
          <w:rFonts w:cs="Arial"/>
          <w:szCs w:val="20"/>
        </w:rPr>
        <w:t>0527/R15/25</w:t>
      </w:r>
    </w:p>
    <w:p w14:paraId="7C70337B" w14:textId="210E94FC" w:rsidR="00D421F6" w:rsidRPr="00B35627" w:rsidRDefault="001440CA" w:rsidP="00DE6B14">
      <w:pPr>
        <w:spacing w:line="252" w:lineRule="auto"/>
      </w:pPr>
      <w:r>
        <w:t>Zkontroloval:</w:t>
      </w:r>
    </w:p>
    <w:p w14:paraId="1447E74B" w14:textId="77777777" w:rsidR="001577E1" w:rsidRDefault="001577E1" w:rsidP="00DE6B14">
      <w:pPr>
        <w:spacing w:line="252" w:lineRule="auto"/>
      </w:pPr>
    </w:p>
    <w:p w14:paraId="7B7F2BCD" w14:textId="77777777" w:rsidR="003E20C7" w:rsidRDefault="003E20C7" w:rsidP="00DE6B14">
      <w:pPr>
        <w:spacing w:line="252" w:lineRule="auto"/>
      </w:pPr>
    </w:p>
    <w:p w14:paraId="65917DEF" w14:textId="77777777" w:rsidR="003E20C7" w:rsidRPr="00B35627" w:rsidRDefault="003E20C7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28612A8C" w14:textId="0F57A210" w:rsidR="009649BB" w:rsidRPr="00D421F6" w:rsidRDefault="00567A92" w:rsidP="00DE6B14">
            <w:pPr>
              <w:spacing w:line="252" w:lineRule="auto"/>
              <w:jc w:val="left"/>
            </w:pPr>
            <w:r w:rsidRPr="008856D6">
              <w:t xml:space="preserve">Jitka </w:t>
            </w:r>
            <w:proofErr w:type="spellStart"/>
            <w:r w:rsidRPr="008856D6">
              <w:t>Točková</w:t>
            </w:r>
            <w:proofErr w:type="spellEnd"/>
            <w:r w:rsidRPr="008856D6">
              <w:t>, předsedkyně</w:t>
            </w: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stručná </w:t>
            </w:r>
            <w:proofErr w:type="spellStart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kace</w:t>
            </w:r>
            <w:proofErr w:type="spellEnd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B58F" w14:textId="77777777" w:rsidR="00782004" w:rsidRDefault="00782004" w:rsidP="008A0B0E">
      <w:pPr>
        <w:spacing w:after="0"/>
      </w:pPr>
      <w:r>
        <w:separator/>
      </w:r>
    </w:p>
  </w:endnote>
  <w:endnote w:type="continuationSeparator" w:id="0">
    <w:p w14:paraId="59881F03" w14:textId="77777777" w:rsidR="00782004" w:rsidRDefault="00782004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3047" w14:textId="77777777" w:rsidR="00782004" w:rsidRDefault="00782004" w:rsidP="008A0B0E">
      <w:pPr>
        <w:spacing w:after="0"/>
      </w:pPr>
      <w:r>
        <w:separator/>
      </w:r>
    </w:p>
  </w:footnote>
  <w:footnote w:type="continuationSeparator" w:id="0">
    <w:p w14:paraId="6456309A" w14:textId="77777777" w:rsidR="00782004" w:rsidRDefault="00782004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6125D025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326E9"/>
    <w:rsid w:val="000328E8"/>
    <w:rsid w:val="000416A0"/>
    <w:rsid w:val="0005633F"/>
    <w:rsid w:val="000616C5"/>
    <w:rsid w:val="00063AEF"/>
    <w:rsid w:val="00075FEA"/>
    <w:rsid w:val="000916E6"/>
    <w:rsid w:val="00093E61"/>
    <w:rsid w:val="000A06E9"/>
    <w:rsid w:val="000D5E07"/>
    <w:rsid w:val="000E0026"/>
    <w:rsid w:val="000E1050"/>
    <w:rsid w:val="000F1681"/>
    <w:rsid w:val="000F71A6"/>
    <w:rsid w:val="00102C43"/>
    <w:rsid w:val="00103874"/>
    <w:rsid w:val="001052BB"/>
    <w:rsid w:val="00125F57"/>
    <w:rsid w:val="00130471"/>
    <w:rsid w:val="00142691"/>
    <w:rsid w:val="001440CA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B2C0B"/>
    <w:rsid w:val="001B404F"/>
    <w:rsid w:val="001C32E8"/>
    <w:rsid w:val="001C36C8"/>
    <w:rsid w:val="001F74F8"/>
    <w:rsid w:val="00233A45"/>
    <w:rsid w:val="00233E22"/>
    <w:rsid w:val="00254B5C"/>
    <w:rsid w:val="00256BE4"/>
    <w:rsid w:val="0026195E"/>
    <w:rsid w:val="00267758"/>
    <w:rsid w:val="00271D8A"/>
    <w:rsid w:val="0027788C"/>
    <w:rsid w:val="00281A26"/>
    <w:rsid w:val="00284F2F"/>
    <w:rsid w:val="002940C1"/>
    <w:rsid w:val="002945DA"/>
    <w:rsid w:val="002B44DB"/>
    <w:rsid w:val="002B52FF"/>
    <w:rsid w:val="002C4705"/>
    <w:rsid w:val="002D1AB5"/>
    <w:rsid w:val="002D1E6A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1588F"/>
    <w:rsid w:val="00315FEC"/>
    <w:rsid w:val="00322912"/>
    <w:rsid w:val="00324AAE"/>
    <w:rsid w:val="003335A0"/>
    <w:rsid w:val="0036694D"/>
    <w:rsid w:val="00371F23"/>
    <w:rsid w:val="003751DC"/>
    <w:rsid w:val="00381DCA"/>
    <w:rsid w:val="0038263B"/>
    <w:rsid w:val="003921E1"/>
    <w:rsid w:val="003A6DF4"/>
    <w:rsid w:val="003B6577"/>
    <w:rsid w:val="003B676A"/>
    <w:rsid w:val="003C7AA8"/>
    <w:rsid w:val="003D296F"/>
    <w:rsid w:val="003E20C7"/>
    <w:rsid w:val="003F441A"/>
    <w:rsid w:val="004044B5"/>
    <w:rsid w:val="0041084A"/>
    <w:rsid w:val="004206E6"/>
    <w:rsid w:val="00420814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A1881"/>
    <w:rsid w:val="004B026F"/>
    <w:rsid w:val="004C0422"/>
    <w:rsid w:val="004D53BB"/>
    <w:rsid w:val="004D5C4F"/>
    <w:rsid w:val="004D75F1"/>
    <w:rsid w:val="004F022A"/>
    <w:rsid w:val="004F42F7"/>
    <w:rsid w:val="0050000D"/>
    <w:rsid w:val="00500F99"/>
    <w:rsid w:val="005062AF"/>
    <w:rsid w:val="00506786"/>
    <w:rsid w:val="00517ACA"/>
    <w:rsid w:val="005203EE"/>
    <w:rsid w:val="00564650"/>
    <w:rsid w:val="0056746B"/>
    <w:rsid w:val="00567A92"/>
    <w:rsid w:val="005705B8"/>
    <w:rsid w:val="00570E40"/>
    <w:rsid w:val="00573148"/>
    <w:rsid w:val="00573212"/>
    <w:rsid w:val="00574C8E"/>
    <w:rsid w:val="005934AE"/>
    <w:rsid w:val="00594A00"/>
    <w:rsid w:val="00595E4F"/>
    <w:rsid w:val="005B1C22"/>
    <w:rsid w:val="005B758E"/>
    <w:rsid w:val="005C75A6"/>
    <w:rsid w:val="005D7689"/>
    <w:rsid w:val="00601295"/>
    <w:rsid w:val="006040A1"/>
    <w:rsid w:val="006050C9"/>
    <w:rsid w:val="00613995"/>
    <w:rsid w:val="00614745"/>
    <w:rsid w:val="00615447"/>
    <w:rsid w:val="00617B20"/>
    <w:rsid w:val="00622C1E"/>
    <w:rsid w:val="00624233"/>
    <w:rsid w:val="00636932"/>
    <w:rsid w:val="00645B6A"/>
    <w:rsid w:val="00652E34"/>
    <w:rsid w:val="006670C8"/>
    <w:rsid w:val="00667A86"/>
    <w:rsid w:val="00672748"/>
    <w:rsid w:val="00673488"/>
    <w:rsid w:val="0067407E"/>
    <w:rsid w:val="00690F7F"/>
    <w:rsid w:val="006B38FA"/>
    <w:rsid w:val="006B5BC9"/>
    <w:rsid w:val="006D743A"/>
    <w:rsid w:val="006E0A0F"/>
    <w:rsid w:val="006E242B"/>
    <w:rsid w:val="006F4B37"/>
    <w:rsid w:val="007001C9"/>
    <w:rsid w:val="00701ACA"/>
    <w:rsid w:val="0070373F"/>
    <w:rsid w:val="00715461"/>
    <w:rsid w:val="00715B56"/>
    <w:rsid w:val="007169F4"/>
    <w:rsid w:val="007175C7"/>
    <w:rsid w:val="00724E03"/>
    <w:rsid w:val="00724F30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604FE"/>
    <w:rsid w:val="007749C2"/>
    <w:rsid w:val="007806F0"/>
    <w:rsid w:val="00782004"/>
    <w:rsid w:val="007838A2"/>
    <w:rsid w:val="00790F5C"/>
    <w:rsid w:val="00793417"/>
    <w:rsid w:val="007948AC"/>
    <w:rsid w:val="007B2EF4"/>
    <w:rsid w:val="007B38F9"/>
    <w:rsid w:val="007C580D"/>
    <w:rsid w:val="007C5C47"/>
    <w:rsid w:val="007F1AF9"/>
    <w:rsid w:val="0081245D"/>
    <w:rsid w:val="00824B7B"/>
    <w:rsid w:val="008518E4"/>
    <w:rsid w:val="0086330D"/>
    <w:rsid w:val="00884C58"/>
    <w:rsid w:val="00885F2D"/>
    <w:rsid w:val="00894E24"/>
    <w:rsid w:val="00895342"/>
    <w:rsid w:val="008A0B0E"/>
    <w:rsid w:val="008A6F82"/>
    <w:rsid w:val="008B5DF4"/>
    <w:rsid w:val="008C0BC1"/>
    <w:rsid w:val="008C4404"/>
    <w:rsid w:val="008D12E5"/>
    <w:rsid w:val="008D1F5D"/>
    <w:rsid w:val="008D4D3F"/>
    <w:rsid w:val="009003E6"/>
    <w:rsid w:val="0090478F"/>
    <w:rsid w:val="0090537D"/>
    <w:rsid w:val="009063BA"/>
    <w:rsid w:val="00917159"/>
    <w:rsid w:val="009454B2"/>
    <w:rsid w:val="00956848"/>
    <w:rsid w:val="009649BB"/>
    <w:rsid w:val="0097078F"/>
    <w:rsid w:val="00983D78"/>
    <w:rsid w:val="009928F3"/>
    <w:rsid w:val="009A1A7D"/>
    <w:rsid w:val="009B5C91"/>
    <w:rsid w:val="009B699C"/>
    <w:rsid w:val="009C766E"/>
    <w:rsid w:val="00A044FE"/>
    <w:rsid w:val="00A1157E"/>
    <w:rsid w:val="00A363DB"/>
    <w:rsid w:val="00A43DB5"/>
    <w:rsid w:val="00A462AF"/>
    <w:rsid w:val="00A515B3"/>
    <w:rsid w:val="00A52410"/>
    <w:rsid w:val="00A74D7F"/>
    <w:rsid w:val="00A77B4F"/>
    <w:rsid w:val="00A833F2"/>
    <w:rsid w:val="00A911F6"/>
    <w:rsid w:val="00A93017"/>
    <w:rsid w:val="00A94E71"/>
    <w:rsid w:val="00A95677"/>
    <w:rsid w:val="00AB3062"/>
    <w:rsid w:val="00AB7954"/>
    <w:rsid w:val="00AC6FA9"/>
    <w:rsid w:val="00AC7C49"/>
    <w:rsid w:val="00AD48A7"/>
    <w:rsid w:val="00AE3FFB"/>
    <w:rsid w:val="00B052DF"/>
    <w:rsid w:val="00B064B9"/>
    <w:rsid w:val="00B07502"/>
    <w:rsid w:val="00B32A8D"/>
    <w:rsid w:val="00B34A9D"/>
    <w:rsid w:val="00B35627"/>
    <w:rsid w:val="00B36265"/>
    <w:rsid w:val="00B373AD"/>
    <w:rsid w:val="00B43134"/>
    <w:rsid w:val="00B4767B"/>
    <w:rsid w:val="00B5319A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28A5"/>
    <w:rsid w:val="00BC5340"/>
    <w:rsid w:val="00BC68E0"/>
    <w:rsid w:val="00BD4A50"/>
    <w:rsid w:val="00BD6470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750D"/>
    <w:rsid w:val="00C600DE"/>
    <w:rsid w:val="00C6357C"/>
    <w:rsid w:val="00C65D58"/>
    <w:rsid w:val="00C8164D"/>
    <w:rsid w:val="00C941FB"/>
    <w:rsid w:val="00C9493A"/>
    <w:rsid w:val="00CB4E9A"/>
    <w:rsid w:val="00CC1161"/>
    <w:rsid w:val="00D004ED"/>
    <w:rsid w:val="00D11EAB"/>
    <w:rsid w:val="00D1378B"/>
    <w:rsid w:val="00D15B52"/>
    <w:rsid w:val="00D17EF1"/>
    <w:rsid w:val="00D22936"/>
    <w:rsid w:val="00D2771E"/>
    <w:rsid w:val="00D378E9"/>
    <w:rsid w:val="00D421F6"/>
    <w:rsid w:val="00D66CD9"/>
    <w:rsid w:val="00D82244"/>
    <w:rsid w:val="00D90041"/>
    <w:rsid w:val="00D91B2D"/>
    <w:rsid w:val="00DA1405"/>
    <w:rsid w:val="00DA77D7"/>
    <w:rsid w:val="00DD09B5"/>
    <w:rsid w:val="00DE6B14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7234C"/>
    <w:rsid w:val="00E823E2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ED7CFD"/>
    <w:rsid w:val="00EF2CA7"/>
    <w:rsid w:val="00F11F63"/>
    <w:rsid w:val="00F20F41"/>
    <w:rsid w:val="00F2264B"/>
    <w:rsid w:val="00F2424A"/>
    <w:rsid w:val="00F31CEA"/>
    <w:rsid w:val="00F36E22"/>
    <w:rsid w:val="00F576EB"/>
    <w:rsid w:val="00F639EA"/>
    <w:rsid w:val="00F80E51"/>
    <w:rsid w:val="00F8509B"/>
    <w:rsid w:val="00F9568D"/>
    <w:rsid w:val="00FA0336"/>
    <w:rsid w:val="00FB03E4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1744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14</cp:revision>
  <cp:lastPrinted>2025-05-26T06:57:00Z</cp:lastPrinted>
  <dcterms:created xsi:type="dcterms:W3CDTF">2025-06-10T06:41:00Z</dcterms:created>
  <dcterms:modified xsi:type="dcterms:W3CDTF">2025-07-10T06:23:00Z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