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633730" distL="129540" distR="132715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1158875</wp:posOffset>
                </wp:positionV>
                <wp:extent cx="753110" cy="45402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3110" cy="454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91.25pt;width:59.300000000000004pt;height:35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408430" distB="0" distL="925195" distR="583565" simplePos="0" relativeHeight="125829379" behindDoc="0" locked="0" layoutInCell="1" allowOverlap="1">
                <wp:simplePos x="0" y="0"/>
                <wp:positionH relativeFrom="page">
                  <wp:posOffset>1516380</wp:posOffset>
                </wp:positionH>
                <wp:positionV relativeFrom="paragraph">
                  <wp:posOffset>1421130</wp:posOffset>
                </wp:positionV>
                <wp:extent cx="917575" cy="19177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757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POH/29186/2025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19.40000000000001pt;margin-top:111.90000000000001pt;width:72.25pt;height:15.1pt;z-index:-125829374;mso-wrap-distance-left:72.850000000000009pt;mso-wrap-distance-top:110.90000000000001pt;mso-wrap-distance-right:45.95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POH/29186/2025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4024630</wp:posOffset>
                </wp:positionH>
                <wp:positionV relativeFrom="paragraph">
                  <wp:posOffset>938530</wp:posOffset>
                </wp:positionV>
                <wp:extent cx="1959610" cy="87185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59610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Horyna Petr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Valkeřická 536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407 22 Benešov nad Ploučnicí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6.90000000000003pt;margin-top:73.900000000000006pt;width:154.30000000000001pt;height:68.65000000000000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Horyna Petr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Valkeřická 536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407 22 Benešov nad Ploučnicí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54" w:val="righ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  <w:tab/>
        <w:t>…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54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…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54" w:val="right"/>
        </w:tabs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…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54" w:val="righ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…</w:t>
      </w:r>
      <w:r>
        <w:fldChar w:fldCharType="end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74" w:val="righ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04.07.2025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……………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84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302999/593/2025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84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17.10.2025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8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98 800,00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84" w:val="left"/>
        </w:tabs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12680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základě Vaší cenové nabídky (viz příloha)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nátěr dřevěného obložení na provozní budově a hospodářské budově v areálu u vodní nádrže VD Chřibská.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tyto práce: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a následná demontáž pracovní konstrukce (výška horní hrany obložení 2-8 m)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720" w:right="0" w:hanging="42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a demontáž ochranné konstrukce (např. připevněná PE krycí plachta, která zamezí znečištění fasády a zamezí znečištění okolí VD)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povrchu dřevěných konstrukcí (135 m2 + 5 oken)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720" w:right="0" w:hanging="42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x nátěr dřevěného obložení tenkovrstvou lazurou – odstín Palisandr (např. Lazura tenkovrstvá Remmers HK, palisander) - 129 m2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720" w:right="0" w:hanging="42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x nátěr 5ti dřevěných oken (á 1,3 x 1 m) tenkovrstvou lazurou – odstín Palisandr (např. Lazura tenkovrstvá Remmers HK, palisander) – 5 ks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720" w:right="0" w:hanging="42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x nátěr nové dřevěné verandy tenkovrstvou lazurou – odstín Palisandr (např. Lazura tenkovrstvá Remmers HK, palisander) - 6 m2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Naložení, odvoz a likvidace vzniklého odpadu v souladu s platnými právními předpisy ČR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180" w:line="240" w:lineRule="auto"/>
        <w:ind w:left="0" w:right="0" w:firstLine="30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práce a náklady spojené s prováděním zakázky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 zahájením zakázky bude zdokumentován současný stav, pro pozdější porovnání se stavem po dokončení zakázky.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Práce, které jsou předmětem plnění, musí být provedeny kvalitně kvalifikovanými pracovníky a v souladu s příslušnými technickými normami. Po ukončení prací se požaduje předání díla bez vad a nedodělků, pozemky, které byly k realizaci využívány, budou uklizeny a vyčištěny od všech odpadů.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Záruční lhůta se požaduje v délce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 měsíců ode dne předání a převzetí dokončené zakázky.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faktuře uveďte číslo objednávky a tyto údaje o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r>
        <w:br w:type="page"/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10" w:name="bookmark10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  <w:bookmarkEnd w:id="10"/>
      <w:bookmarkEnd w:id="8"/>
      <w:bookmarkEnd w:id="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 IČO: 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 DIČ: CZ70889988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………..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-359410</wp:posOffset>
            </wp:positionV>
            <wp:extent cx="2164080" cy="96647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……………………..</w:t>
      </w:r>
    </w:p>
    <w:sectPr>
      <w:footnotePr>
        <w:pos w:val="pageBottom"/>
        <w:numFmt w:val="decimal"/>
        <w:numRestart w:val="continuous"/>
      </w:footnotePr>
      <w:pgSz w:w="11909" w:h="16838"/>
      <w:pgMar w:top="1243" w:left="1111" w:right="996" w:bottom="1350" w:header="815" w:footer="92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ind w:left="13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