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76" w:rsidRDefault="00F464D4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Dodatek č. 2 ke Smlouvě o dílo</w:t>
      </w:r>
      <w:bookmarkEnd w:id="0"/>
    </w:p>
    <w:p w:rsidR="00E40D76" w:rsidRDefault="00F464D4">
      <w:pPr>
        <w:pStyle w:val="Bodytext10"/>
        <w:spacing w:after="580"/>
        <w:ind w:firstLine="420"/>
      </w:pPr>
      <w:r>
        <w:rPr>
          <w:rStyle w:val="Bodytext1"/>
          <w:i/>
          <w:iCs/>
        </w:rPr>
        <w:t>uzavřená ve smyslu § 2586 a násl. zákona č. 89/2012 Sb., občanský zákoník (dále jen občanský zákoník)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320"/>
      </w:tblGrid>
      <w:tr w:rsidR="00E40D7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82" w:type="dxa"/>
            <w:shd w:val="clear" w:color="auto" w:fill="auto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4320" w:type="dxa"/>
            <w:shd w:val="clear" w:color="auto" w:fill="auto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Krajská nemocnice T. Bati, a. s.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82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se sídlem: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</w:rPr>
              <w:t>Havlíčkovo nábřeží 600, 762 75 Zlín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82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IČO:</w:t>
            </w:r>
          </w:p>
        </w:tc>
        <w:tc>
          <w:tcPr>
            <w:tcW w:w="4320" w:type="dxa"/>
            <w:shd w:val="clear" w:color="auto" w:fill="auto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</w:rPr>
              <w:t>27661989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8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DIČ: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</w:rPr>
              <w:t>CZ27661989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82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</w:rPr>
              <w:t>600800300/0300, ČSOB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82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zastoupená:</w:t>
            </w:r>
          </w:p>
        </w:tc>
        <w:tc>
          <w:tcPr>
            <w:tcW w:w="4320" w:type="dxa"/>
            <w:shd w:val="clear" w:color="auto" w:fill="auto"/>
          </w:tcPr>
          <w:p w:rsidR="00E40D76" w:rsidRDefault="00F464D4">
            <w:pPr>
              <w:pStyle w:val="Other10"/>
              <w:spacing w:after="0" w:line="257" w:lineRule="auto"/>
            </w:pPr>
            <w:r>
              <w:rPr>
                <w:rStyle w:val="Other1"/>
              </w:rPr>
              <w:t xml:space="preserve">Ing. Janem Hrdým, předsedou představenstva, Ing. Martinem </w:t>
            </w:r>
            <w:proofErr w:type="spellStart"/>
            <w:r>
              <w:rPr>
                <w:rStyle w:val="Other1"/>
              </w:rPr>
              <w:t>Dévou</w:t>
            </w:r>
            <w:proofErr w:type="spellEnd"/>
            <w:r>
              <w:rPr>
                <w:rStyle w:val="Other1"/>
              </w:rPr>
              <w:t>, členem představenstva</w:t>
            </w:r>
          </w:p>
        </w:tc>
      </w:tr>
    </w:tbl>
    <w:p w:rsidR="00E40D76" w:rsidRDefault="00F464D4">
      <w:pPr>
        <w:pStyle w:val="Tablecaption10"/>
        <w:ind w:firstLine="0"/>
        <w:jc w:val="both"/>
      </w:pPr>
      <w:r>
        <w:rPr>
          <w:rStyle w:val="Tablecaption1"/>
        </w:rPr>
        <w:t>zapsána v OR u KS v Brně, oddíl B., vložka 4437</w:t>
      </w:r>
    </w:p>
    <w:p w:rsidR="00E40D76" w:rsidRDefault="00E40D76">
      <w:pPr>
        <w:spacing w:after="299" w:line="1" w:lineRule="exact"/>
      </w:pPr>
    </w:p>
    <w:p w:rsidR="00E40D76" w:rsidRDefault="00F464D4">
      <w:pPr>
        <w:pStyle w:val="Bodytext10"/>
        <w:spacing w:after="300"/>
        <w:jc w:val="both"/>
      </w:pPr>
      <w:r>
        <w:rPr>
          <w:rStyle w:val="Bodytext1"/>
        </w:rPr>
        <w:t>(dále jen jako „Objednatel“)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5899"/>
      </w:tblGrid>
      <w:tr w:rsidR="00E40D7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78" w:type="dxa"/>
            <w:shd w:val="clear" w:color="auto" w:fill="auto"/>
          </w:tcPr>
          <w:p w:rsidR="00E40D76" w:rsidRDefault="00F464D4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Zhotovitel:</w:t>
            </w:r>
          </w:p>
        </w:tc>
        <w:tc>
          <w:tcPr>
            <w:tcW w:w="5899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  <w:b/>
                <w:bCs/>
              </w:rPr>
              <w:t xml:space="preserve">EFF spol. s </w:t>
            </w:r>
            <w:r>
              <w:rPr>
                <w:rStyle w:val="Other1"/>
                <w:b/>
                <w:bCs/>
              </w:rPr>
              <w:t>r.o.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78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</w:rPr>
              <w:t>Vazová 2497, 68801 Uherský brod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78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IČO: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</w:rPr>
              <w:t>25599968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78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DIČ: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</w:rPr>
              <w:t>CZ25599968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78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5899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</w:rPr>
              <w:t>19-5007140287/0100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78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280"/>
            </w:pPr>
            <w:r>
              <w:rPr>
                <w:rStyle w:val="Other1"/>
              </w:rPr>
              <w:t>zastoupená:</w:t>
            </w:r>
          </w:p>
        </w:tc>
        <w:tc>
          <w:tcPr>
            <w:tcW w:w="5899" w:type="dxa"/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ind w:firstLine="140"/>
            </w:pPr>
            <w:r>
              <w:rPr>
                <w:rStyle w:val="Other1"/>
              </w:rPr>
              <w:t>p. Zdeňkem Plškem</w:t>
            </w:r>
          </w:p>
        </w:tc>
      </w:tr>
    </w:tbl>
    <w:p w:rsidR="00E40D76" w:rsidRDefault="00E40D76">
      <w:pPr>
        <w:spacing w:after="219" w:line="1" w:lineRule="exact"/>
      </w:pPr>
    </w:p>
    <w:p w:rsidR="00E40D76" w:rsidRDefault="00F464D4">
      <w:pPr>
        <w:pStyle w:val="Bodytext10"/>
        <w:spacing w:after="300"/>
        <w:jc w:val="both"/>
      </w:pPr>
      <w:r>
        <w:rPr>
          <w:rStyle w:val="Bodytext1"/>
        </w:rPr>
        <w:t>(dále jen jako „Zhotovitel“)</w:t>
      </w:r>
    </w:p>
    <w:p w:rsidR="00E40D76" w:rsidRDefault="00F464D4">
      <w:pPr>
        <w:pStyle w:val="Bodytext10"/>
        <w:spacing w:after="580"/>
        <w:jc w:val="both"/>
      </w:pPr>
      <w:r>
        <w:rPr>
          <w:rStyle w:val="Bodytext1"/>
        </w:rPr>
        <w:t xml:space="preserve">Objednatel a Zhotovitel jednotlivě jako „Smluvní strana“ a společně jako </w:t>
      </w:r>
      <w:r>
        <w:rPr>
          <w:rStyle w:val="Bodytext1"/>
        </w:rPr>
        <w:t>„Smluvní strany“</w:t>
      </w:r>
    </w:p>
    <w:p w:rsidR="00E40D76" w:rsidRDefault="00F464D4">
      <w:pPr>
        <w:pStyle w:val="Heading410"/>
        <w:keepNext/>
        <w:keepLines/>
        <w:spacing w:after="120"/>
      </w:pPr>
      <w:bookmarkStart w:id="1" w:name="bookmark2"/>
      <w:r>
        <w:rPr>
          <w:rStyle w:val="Heading41"/>
          <w:b/>
          <w:bCs/>
        </w:rPr>
        <w:t>PŘEDMĚT A ROZSAH DODATKU</w:t>
      </w:r>
      <w:bookmarkEnd w:id="1"/>
    </w:p>
    <w:p w:rsidR="00E40D76" w:rsidRDefault="00F464D4">
      <w:pPr>
        <w:pStyle w:val="Bodytext10"/>
        <w:ind w:left="420" w:firstLine="20"/>
        <w:jc w:val="both"/>
      </w:pPr>
      <w:r>
        <w:rPr>
          <w:rStyle w:val="Bodytext1"/>
        </w:rPr>
        <w:t xml:space="preserve">Mezi smluvními stranami byla dne 27. 2. 2025 uzavřena Smlouva o dílo (dále jen „Smlouva“) na akci „KNTB a.s. - B25 Modernizace lůžkového oddělení v 7.NP – interiér“ (dále jen „dílo“). Dodatkem č. 2 k této smlouvě </w:t>
      </w:r>
      <w:r>
        <w:rPr>
          <w:rStyle w:val="Bodytext1"/>
        </w:rPr>
        <w:t>se provádí změna rozsahu prací a Položkového rozpočtu a zároveň ceny díla uvedené v čl. VIII odst.1 Smlouvy o dílo. Důvodem jsou nezbytné změny (analogicky, resp. podpůrně dle § 222 odst. 5 zákona o zadávání veřejných zakázek), které nebyly zahrnuty v půvo</w:t>
      </w:r>
      <w:r>
        <w:rPr>
          <w:rStyle w:val="Bodytext1"/>
        </w:rPr>
        <w:t>dním závazku a jsou vyčísleny v příloze tohoto dodatku.</w:t>
      </w:r>
    </w:p>
    <w:p w:rsidR="00E40D76" w:rsidRDefault="00F464D4">
      <w:pPr>
        <w:pStyle w:val="Bodytext10"/>
        <w:ind w:firstLine="420"/>
        <w:jc w:val="both"/>
      </w:pPr>
      <w:r>
        <w:rPr>
          <w:rStyle w:val="Bodytext1"/>
        </w:rPr>
        <w:t>Dodatek č.2 ke smlouvě mění článek VIII. odst. 1, kdy je samotná Cena díla nově stanovena takto:</w:t>
      </w:r>
    </w:p>
    <w:p w:rsidR="00E40D76" w:rsidRDefault="00F464D4">
      <w:pPr>
        <w:pStyle w:val="Bodytext10"/>
        <w:spacing w:after="0"/>
        <w:ind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12700</wp:posOffset>
                </wp:positionV>
                <wp:extent cx="1490345" cy="3048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0D76" w:rsidRDefault="00F464D4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1.976.017,00 Kč bez DPH</w:t>
                            </w:r>
                          </w:p>
                          <w:p w:rsidR="00E40D76" w:rsidRDefault="00F464D4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2.414.077,00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35000000000002pt;margin-top:1.pt;width:117.35000000000001pt;height:2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1.976.017,00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2.414.077,00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Cena dle smlouvy o dílo celkem:</w:t>
      </w:r>
    </w:p>
    <w:p w:rsidR="00E40D76" w:rsidRDefault="00F464D4">
      <w:pPr>
        <w:pStyle w:val="Bodytext10"/>
        <w:spacing w:after="0"/>
        <w:ind w:firstLine="420"/>
        <w:jc w:val="both"/>
      </w:pPr>
      <w:r>
        <w:rPr>
          <w:rStyle w:val="Bodytext1"/>
        </w:rPr>
        <w:t>Cena celkem dle doda</w:t>
      </w:r>
      <w:r>
        <w:rPr>
          <w:rStyle w:val="Bodytext1"/>
        </w:rPr>
        <w:t>tku č.1:</w:t>
      </w:r>
    </w:p>
    <w:p w:rsidR="00E40D76" w:rsidRDefault="00F464D4">
      <w:pPr>
        <w:spacing w:line="1" w:lineRule="exact"/>
        <w:sectPr w:rsidR="00E40D76">
          <w:pgSz w:w="11900" w:h="16840"/>
          <w:pgMar w:top="1518" w:right="719" w:bottom="756" w:left="847" w:header="1090" w:footer="32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500" distB="0" distL="0" distR="0" simplePos="0" relativeHeight="251658240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63500</wp:posOffset>
                </wp:positionV>
                <wp:extent cx="151193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0D76" w:rsidRDefault="00F464D4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Cena vícenákladů celkem: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200000000000003pt;margin-top:5.pt;width:119.05pt;height:12.5pt;z-index:-125829373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Cena vícenákladů celkem: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0" distR="0" simplePos="0" relativeHeight="251659264" behindDoc="0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63500</wp:posOffset>
                </wp:positionV>
                <wp:extent cx="137795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0D76" w:rsidRDefault="00F464D4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u w:val="single"/>
                              </w:rPr>
                              <w:t>181.450,00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25pt;margin-top:5.pt;width:108.5pt;height:12.5pt;z-index:-125829371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u w:val="single"/>
                        </w:rPr>
                        <w:t>181.450,00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0D76" w:rsidRDefault="00E40D76">
      <w:pPr>
        <w:spacing w:line="118" w:lineRule="exact"/>
        <w:rPr>
          <w:sz w:val="9"/>
          <w:szCs w:val="9"/>
        </w:rPr>
      </w:pPr>
    </w:p>
    <w:p w:rsidR="00E40D76" w:rsidRDefault="00E40D76">
      <w:pPr>
        <w:spacing w:line="1" w:lineRule="exact"/>
        <w:sectPr w:rsidR="00E40D76">
          <w:type w:val="continuous"/>
          <w:pgSz w:w="11900" w:h="16840"/>
          <w:pgMar w:top="1518" w:right="0" w:bottom="756" w:left="0" w:header="0" w:footer="3" w:gutter="0"/>
          <w:cols w:space="720"/>
          <w:noEndnote/>
          <w:docGrid w:linePitch="360"/>
        </w:sectPr>
      </w:pPr>
    </w:p>
    <w:p w:rsidR="00E40D76" w:rsidRDefault="00F464D4">
      <w:pPr>
        <w:pStyle w:val="Bodytext10"/>
        <w:spacing w:after="960"/>
        <w:ind w:firstLine="5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12700</wp:posOffset>
                </wp:positionV>
                <wp:extent cx="1515110" cy="1587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0D76" w:rsidRDefault="00F464D4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2.595.527,00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35000000000002pt;margin-top:1.pt;width:119.3pt;height:12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2.595.527,00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Cena celkem dle dodatku č.1 bez DPH</w:t>
      </w:r>
    </w:p>
    <w:p w:rsidR="00E40D76" w:rsidRDefault="00F464D4">
      <w:pPr>
        <w:pStyle w:val="Heading410"/>
        <w:keepNext/>
        <w:keepLines/>
        <w:spacing w:after="460"/>
      </w:pPr>
      <w:bookmarkStart w:id="2" w:name="bookmark4"/>
      <w:r>
        <w:rPr>
          <w:rStyle w:val="Heading41"/>
          <w:b/>
          <w:bCs/>
        </w:rPr>
        <w:t>ZÁVĚREČNÁ USTANOVENÍ</w:t>
      </w:r>
      <w:bookmarkEnd w:id="2"/>
    </w:p>
    <w:p w:rsidR="00E40D76" w:rsidRDefault="00F464D4">
      <w:pPr>
        <w:pStyle w:val="Bodytext10"/>
        <w:ind w:firstLine="560"/>
        <w:jc w:val="both"/>
      </w:pPr>
      <w:r>
        <w:rPr>
          <w:rStyle w:val="Bodytext1"/>
        </w:rPr>
        <w:t>Ostatní ustanovení Smlouvy zůstávají beze změny.</w:t>
      </w:r>
    </w:p>
    <w:p w:rsidR="00E40D76" w:rsidRDefault="00F464D4">
      <w:pPr>
        <w:pStyle w:val="Bodytext10"/>
        <w:ind w:left="440" w:firstLine="120"/>
        <w:jc w:val="both"/>
      </w:pPr>
      <w:r>
        <w:rPr>
          <w:rStyle w:val="Bodytext1"/>
        </w:rPr>
        <w:t>Tento</w:t>
      </w:r>
      <w:r>
        <w:rPr>
          <w:rStyle w:val="Bodytext1"/>
        </w:rPr>
        <w:t xml:space="preserve"> dodatek ke smlouvě vstupuje v platnost dnem podpisu oprávněnými zástupci obou smluvních stran a účinnost jeho uveřejněním v registru smluv. Uveřejnění zajistí Objednatel</w:t>
      </w:r>
    </w:p>
    <w:p w:rsidR="00E40D76" w:rsidRDefault="00F464D4">
      <w:pPr>
        <w:pStyle w:val="Bodytext10"/>
        <w:spacing w:after="100"/>
        <w:ind w:left="440" w:firstLine="120"/>
        <w:jc w:val="both"/>
      </w:pPr>
      <w:r>
        <w:rPr>
          <w:rStyle w:val="Bodytext1"/>
        </w:rPr>
        <w:t xml:space="preserve">Smluvní strany prohlašují, že jsou plně způsobilé k právním úkonům, dodatek si řádně </w:t>
      </w:r>
      <w:r>
        <w:rPr>
          <w:rStyle w:val="Bodytext1"/>
        </w:rPr>
        <w:t>přečetly a s jeho</w:t>
      </w:r>
    </w:p>
    <w:p w:rsidR="00E40D76" w:rsidRDefault="00F464D4">
      <w:pPr>
        <w:pStyle w:val="Bodytext10"/>
        <w:spacing w:after="340"/>
        <w:jc w:val="center"/>
        <w:sectPr w:rsidR="00E40D76">
          <w:type w:val="continuous"/>
          <w:pgSz w:w="11900" w:h="16840"/>
          <w:pgMar w:top="1518" w:right="719" w:bottom="756" w:left="847" w:header="0" w:footer="3" w:gutter="0"/>
          <w:cols w:space="720"/>
          <w:noEndnote/>
          <w:docGrid w:linePitch="360"/>
        </w:sectPr>
      </w:pPr>
      <w:r>
        <w:rPr>
          <w:rStyle w:val="Bodytext1"/>
        </w:rPr>
        <w:t>1</w:t>
      </w:r>
    </w:p>
    <w:p w:rsidR="00E40D76" w:rsidRDefault="00E40D76">
      <w:pPr>
        <w:spacing w:line="1" w:lineRule="exact"/>
      </w:pPr>
    </w:p>
    <w:p w:rsidR="00E40D76" w:rsidRDefault="00F464D4">
      <w:pPr>
        <w:pStyle w:val="Bodytext10"/>
        <w:framePr w:w="4258" w:h="274" w:wrap="none" w:hAnchor="page" w:x="1285" w:y="1"/>
        <w:spacing w:after="0"/>
      </w:pPr>
      <w:r>
        <w:rPr>
          <w:rStyle w:val="Bodytext1"/>
        </w:rPr>
        <w:t>obsahem souhlasí, což potvrzují svými podpisy.</w:t>
      </w:r>
    </w:p>
    <w:p w:rsidR="00E40D76" w:rsidRDefault="00F464D4">
      <w:pPr>
        <w:pStyle w:val="Bodytext10"/>
        <w:framePr w:w="9869" w:h="504" w:wrap="none" w:hAnchor="page" w:x="1285" w:y="462"/>
        <w:spacing w:after="0"/>
      </w:pPr>
      <w:r>
        <w:rPr>
          <w:rStyle w:val="Bodytext1"/>
        </w:rPr>
        <w:t>Tento dodatek se uzavírá v elektronické podobě a každá ze smluvních stran obdrží její originální vyhotovení podepsané elektronickým podpisem obou stran v souladu s</w:t>
      </w:r>
      <w:r>
        <w:rPr>
          <w:rStyle w:val="Bodytext1"/>
        </w:rPr>
        <w:t xml:space="preserve"> příslušnými ustanoveními vyhlášky č. 260/2016 Sb.</w:t>
      </w:r>
    </w:p>
    <w:p w:rsidR="00E40D76" w:rsidRDefault="00F464D4">
      <w:pPr>
        <w:pStyle w:val="Bodytext10"/>
        <w:framePr w:w="3139" w:h="5530" w:wrap="none" w:hAnchor="page" w:x="843" w:y="1379"/>
        <w:spacing w:after="340" w:line="386" w:lineRule="auto"/>
        <w:ind w:firstLine="560"/>
        <w:jc w:val="both"/>
      </w:pPr>
      <w:r>
        <w:rPr>
          <w:rStyle w:val="Bodytext1"/>
          <w:b/>
          <w:bCs/>
        </w:rPr>
        <w:t xml:space="preserve">Příloha: </w:t>
      </w:r>
      <w:r>
        <w:rPr>
          <w:rStyle w:val="Bodytext1"/>
        </w:rPr>
        <w:t>Položkový rozpočet</w:t>
      </w:r>
    </w:p>
    <w:p w:rsidR="00E40D76" w:rsidRDefault="00F464D4">
      <w:pPr>
        <w:pStyle w:val="Bodytext10"/>
        <w:framePr w:w="3139" w:h="5530" w:wrap="none" w:hAnchor="page" w:x="843" w:y="1379"/>
        <w:spacing w:after="340" w:line="386" w:lineRule="auto"/>
      </w:pPr>
      <w:r>
        <w:rPr>
          <w:rStyle w:val="Bodytext1"/>
        </w:rPr>
        <w:t>Za Objednatele</w:t>
      </w:r>
    </w:p>
    <w:p w:rsidR="00E40D76" w:rsidRDefault="00F464D4">
      <w:pPr>
        <w:pStyle w:val="Bodytext10"/>
        <w:framePr w:w="3139" w:h="5530" w:wrap="none" w:hAnchor="page" w:x="843" w:y="1379"/>
        <w:tabs>
          <w:tab w:val="left" w:leader="underscore" w:pos="2184"/>
        </w:tabs>
        <w:spacing w:after="240" w:line="386" w:lineRule="auto"/>
      </w:pPr>
      <w:r>
        <w:rPr>
          <w:rStyle w:val="Bodytext1"/>
        </w:rPr>
        <w:t>Ve Zlíně dne</w:t>
      </w:r>
      <w:r w:rsidR="00E97E20">
        <w:rPr>
          <w:rStyle w:val="Bodytext1"/>
        </w:rPr>
        <w:t>9. 7. 2025 el. podpis</w:t>
      </w:r>
    </w:p>
    <w:p w:rsidR="00E40D76" w:rsidRDefault="00E40D76" w:rsidP="00E97E20">
      <w:pPr>
        <w:pStyle w:val="Bodytext20"/>
        <w:framePr w:w="3139" w:h="5530" w:wrap="none" w:hAnchor="page" w:x="843" w:y="1379"/>
        <w:spacing w:after="0" w:line="262" w:lineRule="auto"/>
        <w:ind w:left="0"/>
      </w:pPr>
    </w:p>
    <w:p w:rsidR="00E40D76" w:rsidRDefault="00F464D4">
      <w:pPr>
        <w:pStyle w:val="Bodytext10"/>
        <w:framePr w:w="3139" w:h="5530" w:wrap="none" w:hAnchor="page" w:x="843" w:y="1379"/>
        <w:spacing w:after="240" w:line="386" w:lineRule="auto"/>
      </w:pPr>
      <w:r>
        <w:rPr>
          <w:rStyle w:val="Bodytext1"/>
          <w:lang w:val="en-US" w:eastAsia="en-US" w:bidi="en-US"/>
        </w:rPr>
        <w:t xml:space="preserve">Ing. Jan </w:t>
      </w:r>
      <w:r>
        <w:rPr>
          <w:rStyle w:val="Bodytext1"/>
        </w:rPr>
        <w:t>Hrdý předseda představenstva</w:t>
      </w:r>
    </w:p>
    <w:p w:rsidR="00E40D76" w:rsidRDefault="00E40D76" w:rsidP="00E97E20">
      <w:pPr>
        <w:pStyle w:val="Bodytext20"/>
        <w:framePr w:w="3139" w:h="5530" w:wrap="none" w:hAnchor="page" w:x="843" w:y="1379"/>
        <w:spacing w:after="0" w:line="240" w:lineRule="auto"/>
        <w:rPr>
          <w:sz w:val="11"/>
          <w:szCs w:val="11"/>
        </w:rPr>
      </w:pPr>
    </w:p>
    <w:p w:rsidR="00E40D76" w:rsidRDefault="00F464D4">
      <w:pPr>
        <w:pStyle w:val="Bodytext10"/>
        <w:framePr w:w="3139" w:h="5530" w:wrap="none" w:hAnchor="page" w:x="843" w:y="1379"/>
        <w:spacing w:after="320" w:line="386" w:lineRule="auto"/>
      </w:pPr>
      <w:r>
        <w:rPr>
          <w:rStyle w:val="Bodytext1"/>
          <w:lang w:val="en-US" w:eastAsia="en-US" w:bidi="en-US"/>
        </w:rPr>
        <w:t>I</w:t>
      </w:r>
      <w:r>
        <w:rPr>
          <w:rStyle w:val="Bodytext1"/>
          <w:lang w:val="en-US" w:eastAsia="en-US" w:bidi="en-US"/>
        </w:rPr>
        <w:t xml:space="preserve">ng. Martin </w:t>
      </w:r>
      <w:r>
        <w:rPr>
          <w:rStyle w:val="Bodytext1"/>
        </w:rPr>
        <w:t>Déva předseda představenstva</w:t>
      </w:r>
    </w:p>
    <w:p w:rsidR="00E40D76" w:rsidRDefault="00F464D4">
      <w:pPr>
        <w:pStyle w:val="Bodytext10"/>
        <w:framePr w:w="1306" w:h="250" w:wrap="none" w:hAnchor="page" w:x="5941" w:y="2099"/>
        <w:spacing w:after="0"/>
      </w:pPr>
      <w:r>
        <w:rPr>
          <w:rStyle w:val="Bodytext1"/>
          <w:lang w:val="en-US" w:eastAsia="en-US" w:bidi="en-US"/>
        </w:rPr>
        <w:t xml:space="preserve">Za </w:t>
      </w:r>
      <w:proofErr w:type="spellStart"/>
      <w:r>
        <w:rPr>
          <w:rStyle w:val="Bodytext1"/>
          <w:lang w:val="en-US" w:eastAsia="en-US" w:bidi="en-US"/>
        </w:rPr>
        <w:t>Zhotovitele</w:t>
      </w:r>
      <w:proofErr w:type="spellEnd"/>
    </w:p>
    <w:p w:rsidR="00E40D76" w:rsidRDefault="00E97E20">
      <w:pPr>
        <w:pStyle w:val="Bodytext10"/>
        <w:framePr w:w="3806" w:h="288" w:wrap="none" w:hAnchor="page" w:x="5936" w:y="2838"/>
        <w:tabs>
          <w:tab w:val="left" w:leader="underscore" w:pos="2299"/>
          <w:tab w:val="left" w:leader="underscore" w:pos="3744"/>
        </w:tabs>
        <w:spacing w:after="0"/>
        <w:jc w:val="both"/>
      </w:pPr>
      <w:r>
        <w:rPr>
          <w:rStyle w:val="Bodytext1"/>
          <w:lang w:val="en-US" w:eastAsia="en-US" w:bidi="en-US"/>
        </w:rPr>
        <w:t xml:space="preserve">V </w:t>
      </w:r>
      <w:proofErr w:type="spellStart"/>
      <w:r>
        <w:rPr>
          <w:rStyle w:val="Bodytext1"/>
          <w:lang w:val="en-US" w:eastAsia="en-US" w:bidi="en-US"/>
        </w:rPr>
        <w:t>Uh.</w:t>
      </w:r>
      <w:proofErr w:type="spellEnd"/>
      <w:r>
        <w:rPr>
          <w:rStyle w:val="Bodytext1"/>
          <w:lang w:val="en-US" w:eastAsia="en-US" w:bidi="en-US"/>
        </w:rPr>
        <w:t xml:space="preserve"> </w:t>
      </w:r>
      <w:proofErr w:type="spellStart"/>
      <w:r>
        <w:rPr>
          <w:rStyle w:val="Bodytext1"/>
          <w:lang w:val="en-US" w:eastAsia="en-US" w:bidi="en-US"/>
        </w:rPr>
        <w:t>Brodě</w:t>
      </w:r>
      <w:proofErr w:type="spellEnd"/>
      <w:r w:rsidR="00F464D4">
        <w:rPr>
          <w:rStyle w:val="Bodytext1"/>
          <w:lang w:val="en-US" w:eastAsia="en-US" w:bidi="en-US"/>
        </w:rPr>
        <w:t xml:space="preserve"> </w:t>
      </w:r>
      <w:proofErr w:type="spellStart"/>
      <w:r w:rsidR="00F464D4">
        <w:rPr>
          <w:rStyle w:val="Bodytext1"/>
          <w:lang w:val="en-US" w:eastAsia="en-US" w:bidi="en-US"/>
        </w:rPr>
        <w:t>dne</w:t>
      </w:r>
      <w:proofErr w:type="spellEnd"/>
      <w:r w:rsidR="00F464D4">
        <w:rPr>
          <w:rStyle w:val="Bodytext1"/>
          <w:lang w:val="en-US" w:eastAsia="en-US" w:bidi="en-US"/>
        </w:rPr>
        <w:t xml:space="preserve"> </w:t>
      </w:r>
      <w:r>
        <w:rPr>
          <w:rStyle w:val="Bodytext1"/>
          <w:lang w:val="en-US" w:eastAsia="en-US" w:bidi="en-US"/>
        </w:rPr>
        <w:t xml:space="preserve">9. 7. 2025 el. </w:t>
      </w:r>
      <w:proofErr w:type="spellStart"/>
      <w:r>
        <w:rPr>
          <w:rStyle w:val="Bodytext1"/>
          <w:lang w:val="en-US" w:eastAsia="en-US" w:bidi="en-US"/>
        </w:rPr>
        <w:t>podpis</w:t>
      </w:r>
      <w:proofErr w:type="spellEnd"/>
    </w:p>
    <w:p w:rsidR="00E40D76" w:rsidRDefault="00F464D4">
      <w:pPr>
        <w:pStyle w:val="Bodytext10"/>
        <w:framePr w:w="1272" w:h="634" w:wrap="none" w:hAnchor="page" w:x="5926" w:y="4307"/>
        <w:pBdr>
          <w:top w:val="single" w:sz="4" w:space="0" w:color="auto"/>
        </w:pBdr>
        <w:spacing w:after="120"/>
      </w:pPr>
      <w:r>
        <w:rPr>
          <w:rStyle w:val="Bodytext1"/>
        </w:rPr>
        <w:t>Zdeněk Plšek</w:t>
      </w:r>
    </w:p>
    <w:p w:rsidR="00E40D76" w:rsidRDefault="00F464D4">
      <w:pPr>
        <w:pStyle w:val="Bodytext10"/>
        <w:framePr w:w="1272" w:h="634" w:wrap="none" w:hAnchor="page" w:x="5926" w:y="4307"/>
        <w:spacing w:after="0"/>
      </w:pPr>
      <w:r>
        <w:rPr>
          <w:rStyle w:val="Bodytext1"/>
        </w:rPr>
        <w:t>jednatel</w:t>
      </w: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line="360" w:lineRule="exact"/>
      </w:pPr>
    </w:p>
    <w:p w:rsidR="00E40D76" w:rsidRDefault="00E40D76">
      <w:pPr>
        <w:spacing w:after="426" w:line="1" w:lineRule="exact"/>
      </w:pPr>
    </w:p>
    <w:p w:rsidR="00E40D76" w:rsidRDefault="00E40D76">
      <w:pPr>
        <w:spacing w:line="1" w:lineRule="exact"/>
        <w:sectPr w:rsidR="00E40D76">
          <w:pgSz w:w="11900" w:h="16840"/>
          <w:pgMar w:top="1250" w:right="747" w:bottom="1250" w:left="842" w:header="822" w:footer="822" w:gutter="0"/>
          <w:cols w:space="720"/>
          <w:noEndnote/>
          <w:docGrid w:linePitch="360"/>
        </w:sectPr>
      </w:pPr>
    </w:p>
    <w:p w:rsidR="00E40D76" w:rsidRDefault="00F464D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CFC" stroked="f"/>
            </w:pict>
          </mc:Fallback>
        </mc:AlternateContent>
      </w:r>
    </w:p>
    <w:p w:rsidR="00E40D76" w:rsidRDefault="00F464D4">
      <w:pPr>
        <w:pStyle w:val="Bodytext50"/>
        <w:ind w:left="4640"/>
      </w:pPr>
      <w:r>
        <w:rPr>
          <w:rStyle w:val="Bodytext5"/>
        </w:rPr>
        <w:t>List1</w:t>
      </w:r>
    </w:p>
    <w:p w:rsidR="00E40D76" w:rsidRDefault="00F464D4">
      <w:pPr>
        <w:pStyle w:val="Bodytext60"/>
      </w:pPr>
      <w:r>
        <w:rPr>
          <w:rStyle w:val="Bodytext6"/>
          <w:b/>
          <w:bCs/>
        </w:rPr>
        <w:t>Položkový rozpočet</w:t>
      </w:r>
    </w:p>
    <w:p w:rsidR="00E40D76" w:rsidRDefault="00F464D4">
      <w:pPr>
        <w:pStyle w:val="Heading210"/>
        <w:keepNext/>
        <w:keepLines/>
      </w:pPr>
      <w:bookmarkStart w:id="3" w:name="bookmark8"/>
      <w:r>
        <w:rPr>
          <w:rStyle w:val="Heading21"/>
          <w:b/>
          <w:bCs/>
        </w:rPr>
        <w:t xml:space="preserve">KNTB, </w:t>
      </w:r>
      <w:proofErr w:type="gramStart"/>
      <w:r>
        <w:rPr>
          <w:rStyle w:val="Heading21"/>
          <w:b/>
          <w:bCs/>
        </w:rPr>
        <w:t>a.s</w:t>
      </w:r>
      <w:proofErr w:type="gramEnd"/>
      <w:r>
        <w:rPr>
          <w:rStyle w:val="Heading21"/>
          <w:b/>
          <w:bCs/>
        </w:rPr>
        <w:t xml:space="preserve"> Zlín, budova č.B25, 7.np</w:t>
      </w:r>
      <w:bookmarkEnd w:id="3"/>
    </w:p>
    <w:p w:rsidR="00E40D76" w:rsidRDefault="00F464D4">
      <w:pPr>
        <w:pStyle w:val="Heading310"/>
        <w:keepNext/>
        <w:keepLines/>
        <w:spacing w:after="320" w:line="240" w:lineRule="auto"/>
      </w:pPr>
      <w:bookmarkStart w:id="4" w:name="bookmark10"/>
      <w:r>
        <w:rPr>
          <w:rStyle w:val="Heading31"/>
          <w:b/>
          <w:bCs/>
        </w:rPr>
        <w:t>Modernizace lůžkového oddělení</w:t>
      </w:r>
      <w:bookmarkEnd w:id="4"/>
    </w:p>
    <w:p w:rsidR="00E40D76" w:rsidRDefault="00F464D4">
      <w:pPr>
        <w:pStyle w:val="Bodytext60"/>
      </w:pPr>
      <w:r>
        <w:rPr>
          <w:rStyle w:val="Bodytext6"/>
          <w:b/>
          <w:bCs/>
        </w:rPr>
        <w:t>část Interiér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413"/>
        <w:gridCol w:w="1598"/>
        <w:gridCol w:w="470"/>
        <w:gridCol w:w="893"/>
        <w:gridCol w:w="1147"/>
      </w:tblGrid>
      <w:tr w:rsidR="00E40D7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 w:line="276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pořadí položky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tabs>
                <w:tab w:val="left" w:pos="2379"/>
              </w:tabs>
              <w:spacing w:after="0"/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Název položky</w:t>
            </w: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ab/>
            </w: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provedení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Rozměry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 w:line="266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Kč bez DPH za Ks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 w:line="266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Kč bez DPH celkem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ind w:firstLine="34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v milimetrech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bookmarkStart w:id="5" w:name="_GoBack" w:colFirst="1" w:colLast="1"/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INT100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Skříň v nice vč. Chladničky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980x600x2515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33 540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33 540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Skříň na minibar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500x450x750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7 890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7 890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bez minibaru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bookmarkEnd w:id="5"/>
      <w:tr w:rsidR="00E40D7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INT102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Posuvné dveře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2127x200x2060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82 410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82 410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 xml:space="preserve">prosklené, kování </w:t>
            </w:r>
            <w:proofErr w:type="spellStart"/>
            <w:r>
              <w:rPr>
                <w:rStyle w:val="Other1"/>
                <w:sz w:val="15"/>
                <w:szCs w:val="15"/>
              </w:rPr>
              <w:t>heffele</w:t>
            </w:r>
            <w:proofErr w:type="spellEnd"/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INT104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Skříň do koupelny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330x290x900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10 240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10 240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INT105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Nástěnka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1200x900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12 260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12 260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92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INT106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obložky ke skříním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80x80x2670</w:t>
            </w:r>
          </w:p>
        </w:tc>
        <w:tc>
          <w:tcPr>
            <w:tcW w:w="470" w:type="dxa"/>
            <w:shd w:val="clear" w:color="auto" w:fill="auto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3 890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</w:tcPr>
          <w:p w:rsidR="00E40D76" w:rsidRDefault="00F464D4">
            <w:pPr>
              <w:pStyle w:val="Other10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23 340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INT107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obložky ke skříním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160x25x2670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3 670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3 670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INT09A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myčky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INT28A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MT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900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900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INT28B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myčky</w:t>
            </w:r>
          </w:p>
        </w:tc>
        <w:tc>
          <w:tcPr>
            <w:tcW w:w="1598" w:type="dxa"/>
            <w:tcBorders>
              <w:left w:val="dashed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INT36A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chladničky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INT36B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minibar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INT76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chladničky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92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</w:tr>
      <w:tr w:rsidR="00E40D7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INT101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rFonts w:ascii="Arial Black" w:eastAsia="Arial Black" w:hAnsi="Arial Black" w:cs="Arial Black"/>
                <w:b/>
                <w:bCs/>
                <w:sz w:val="15"/>
                <w:szCs w:val="15"/>
              </w:rPr>
              <w:t>Montáž minibar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</w:tcPr>
          <w:p w:rsidR="00E40D76" w:rsidRDefault="00E40D7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40D76" w:rsidRDefault="00F464D4">
            <w:pPr>
              <w:pStyle w:val="Other10"/>
              <w:spacing w:after="0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D4C"/>
            <w:vAlign w:val="center"/>
          </w:tcPr>
          <w:p w:rsidR="00E40D76" w:rsidRDefault="00F464D4">
            <w:pPr>
              <w:pStyle w:val="Other10"/>
              <w:spacing w:after="0"/>
              <w:ind w:firstLine="48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1 200 Kč</w:t>
            </w:r>
          </w:p>
        </w:tc>
      </w:tr>
    </w:tbl>
    <w:p w:rsidR="00E40D76" w:rsidRDefault="00E40D76">
      <w:pPr>
        <w:spacing w:after="579" w:line="1" w:lineRule="exact"/>
      </w:pPr>
    </w:p>
    <w:p w:rsidR="00E40D76" w:rsidRDefault="00F464D4">
      <w:pPr>
        <w:pStyle w:val="Bodytext50"/>
        <w:tabs>
          <w:tab w:val="left" w:pos="1181"/>
        </w:tabs>
        <w:spacing w:after="380"/>
        <w:ind w:left="0"/>
        <w:jc w:val="right"/>
      </w:pPr>
      <w:r>
        <w:rPr>
          <w:rStyle w:val="Bodytext5"/>
        </w:rPr>
        <w:t>celkem</w:t>
      </w:r>
      <w:r>
        <w:rPr>
          <w:rStyle w:val="Bodytext5"/>
        </w:rPr>
        <w:tab/>
      </w:r>
      <w:r>
        <w:rPr>
          <w:rStyle w:val="Bodytext5"/>
          <w:b/>
          <w:bCs/>
        </w:rPr>
        <w:t>181 450 Kč</w:t>
      </w:r>
    </w:p>
    <w:p w:rsidR="00E40D76" w:rsidRDefault="00F464D4">
      <w:pPr>
        <w:pStyle w:val="Bodytext40"/>
      </w:pPr>
      <w:r>
        <w:rPr>
          <w:rStyle w:val="Bodytext4"/>
          <w:b/>
          <w:bCs/>
        </w:rPr>
        <w:t>Ceny včetně dopravy, montáže, výrobní dokumentace.</w:t>
      </w:r>
    </w:p>
    <w:p w:rsidR="00E40D76" w:rsidRDefault="00F464D4">
      <w:pPr>
        <w:pStyle w:val="Bodytext50"/>
        <w:spacing w:after="0"/>
      </w:pPr>
      <w:r>
        <w:rPr>
          <w:rStyle w:val="Bodytext5"/>
        </w:rPr>
        <w:t>Stránka 1</w:t>
      </w:r>
    </w:p>
    <w:sectPr w:rsidR="00E40D76">
      <w:pgSz w:w="11900" w:h="16840"/>
      <w:pgMar w:top="1100" w:right="2453" w:bottom="1015" w:left="1133" w:header="672" w:footer="5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4D4" w:rsidRDefault="00F464D4">
      <w:r>
        <w:separator/>
      </w:r>
    </w:p>
  </w:endnote>
  <w:endnote w:type="continuationSeparator" w:id="0">
    <w:p w:rsidR="00F464D4" w:rsidRDefault="00F4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4D4" w:rsidRDefault="00F464D4"/>
  </w:footnote>
  <w:footnote w:type="continuationSeparator" w:id="0">
    <w:p w:rsidR="00F464D4" w:rsidRDefault="00F464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76"/>
    <w:rsid w:val="00E40D76"/>
    <w:rsid w:val="00E97E20"/>
    <w:rsid w:val="00F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68C3"/>
  <w15:docId w15:val="{BA6D7FE0-E3D4-4F2C-8282-96A80E81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 Black" w:eastAsia="Arial Black" w:hAnsi="Arial Black" w:cs="Arial Black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43336"/>
      <w:sz w:val="9"/>
      <w:szCs w:val="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 Black" w:eastAsia="Arial Black" w:hAnsi="Arial Black" w:cs="Arial Black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 Black" w:eastAsia="Arial Black" w:hAnsi="Arial Black" w:cs="Arial Blac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ablecaption10">
    <w:name w:val="Table caption|1"/>
    <w:basedOn w:val="Normln"/>
    <w:link w:val="Tablecaption1"/>
    <w:pPr>
      <w:ind w:firstLine="260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Heading410">
    <w:name w:val="Heading #4|1"/>
    <w:basedOn w:val="Normln"/>
    <w:link w:val="Heading41"/>
    <w:pPr>
      <w:spacing w:after="29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40" w:line="180" w:lineRule="auto"/>
      <w:ind w:left="1360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Heading310">
    <w:name w:val="Heading #3|1"/>
    <w:basedOn w:val="Normln"/>
    <w:link w:val="Heading31"/>
    <w:pPr>
      <w:spacing w:after="160" w:line="214" w:lineRule="auto"/>
      <w:jc w:val="center"/>
      <w:outlineLvl w:val="2"/>
    </w:pPr>
    <w:rPr>
      <w:rFonts w:ascii="Arial Black" w:eastAsia="Arial Black" w:hAnsi="Arial Black" w:cs="Arial Black"/>
      <w:b/>
      <w:bCs/>
      <w:w w:val="80"/>
      <w:sz w:val="28"/>
      <w:szCs w:val="28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color w:val="343336"/>
      <w:sz w:val="9"/>
      <w:szCs w:val="9"/>
    </w:rPr>
  </w:style>
  <w:style w:type="paragraph" w:customStyle="1" w:styleId="Bodytext50">
    <w:name w:val="Body text|5"/>
    <w:basedOn w:val="Normln"/>
    <w:link w:val="Bodytext5"/>
    <w:pPr>
      <w:spacing w:after="140"/>
      <w:ind w:left="4480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pacing w:after="220"/>
      <w:jc w:val="center"/>
    </w:pPr>
    <w:rPr>
      <w:rFonts w:ascii="Arial Black" w:eastAsia="Arial Black" w:hAnsi="Arial Black" w:cs="Arial Black"/>
      <w:b/>
      <w:bCs/>
    </w:rPr>
  </w:style>
  <w:style w:type="paragraph" w:customStyle="1" w:styleId="Heading210">
    <w:name w:val="Heading #2|1"/>
    <w:basedOn w:val="Normln"/>
    <w:link w:val="Heading21"/>
    <w:pPr>
      <w:ind w:left="2160"/>
      <w:outlineLvl w:val="1"/>
    </w:pPr>
    <w:rPr>
      <w:rFonts w:ascii="Arial Black" w:eastAsia="Arial Black" w:hAnsi="Arial Black" w:cs="Arial Black"/>
      <w:b/>
      <w:bCs/>
      <w:sz w:val="30"/>
      <w:szCs w:val="30"/>
    </w:rPr>
  </w:style>
  <w:style w:type="paragraph" w:customStyle="1" w:styleId="Bodytext40">
    <w:name w:val="Body text|4"/>
    <w:basedOn w:val="Normln"/>
    <w:link w:val="Bodytext4"/>
    <w:pPr>
      <w:spacing w:after="260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2025-07-09T12:17:00Z</dcterms:created>
  <dcterms:modified xsi:type="dcterms:W3CDTF">2025-07-09T12:17:00Z</dcterms:modified>
</cp:coreProperties>
</file>