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BAA2" w14:textId="77777777" w:rsidR="000C26A6" w:rsidRPr="000C26A6" w:rsidRDefault="000C26A6" w:rsidP="000C26A6"/>
    <w:p w14:paraId="087EB158" w14:textId="77777777" w:rsidR="000C26A6" w:rsidRPr="000C26A6" w:rsidRDefault="000C26A6" w:rsidP="000C26A6">
      <w:r w:rsidRPr="000C26A6">
        <w:t xml:space="preserve"> </w:t>
      </w:r>
      <w:r w:rsidRPr="000C26A6">
        <w:rPr>
          <w:b/>
          <w:bCs/>
        </w:rPr>
        <w:t xml:space="preserve">S M L O U V A O D Í L O </w:t>
      </w:r>
    </w:p>
    <w:p w14:paraId="7F66444C" w14:textId="77777777" w:rsidR="000C26A6" w:rsidRPr="000C26A6" w:rsidRDefault="000C26A6" w:rsidP="000C26A6">
      <w:r w:rsidRPr="000C26A6">
        <w:rPr>
          <w:b/>
          <w:bCs/>
        </w:rPr>
        <w:t xml:space="preserve">č. 101/2025 </w:t>
      </w:r>
    </w:p>
    <w:p w14:paraId="115714D1" w14:textId="77777777" w:rsidR="000C26A6" w:rsidRPr="000C26A6" w:rsidRDefault="000C26A6" w:rsidP="000C26A6">
      <w:r w:rsidRPr="000C26A6">
        <w:t xml:space="preserve">uzavřená dle </w:t>
      </w:r>
      <w:proofErr w:type="spellStart"/>
      <w:r w:rsidRPr="000C26A6">
        <w:t>ust</w:t>
      </w:r>
      <w:proofErr w:type="spellEnd"/>
      <w:r w:rsidRPr="000C26A6">
        <w:t xml:space="preserve">. § 2586 a násl. zák. č. 89/2012 Sb., občanského zákoníku, v platném znění </w:t>
      </w:r>
    </w:p>
    <w:p w14:paraId="54C65D7B" w14:textId="77777777" w:rsidR="000C26A6" w:rsidRPr="000C26A6" w:rsidRDefault="000C26A6" w:rsidP="000C26A6">
      <w:r w:rsidRPr="000C26A6">
        <w:rPr>
          <w:b/>
          <w:bCs/>
        </w:rPr>
        <w:t xml:space="preserve">I. </w:t>
      </w:r>
    </w:p>
    <w:p w14:paraId="58FD236E" w14:textId="77777777" w:rsidR="000C26A6" w:rsidRPr="000C26A6" w:rsidRDefault="000C26A6" w:rsidP="000C26A6">
      <w:r w:rsidRPr="000C26A6">
        <w:rPr>
          <w:b/>
          <w:bCs/>
        </w:rPr>
        <w:t xml:space="preserve">Smluvní strany </w:t>
      </w:r>
    </w:p>
    <w:p w14:paraId="02451472" w14:textId="77777777" w:rsidR="000C26A6" w:rsidRPr="000C26A6" w:rsidRDefault="000C26A6" w:rsidP="000C26A6">
      <w:r w:rsidRPr="000C26A6">
        <w:rPr>
          <w:b/>
          <w:bCs/>
        </w:rPr>
        <w:t xml:space="preserve">Objednatel </w:t>
      </w:r>
    </w:p>
    <w:p w14:paraId="2F2E18F4" w14:textId="77777777" w:rsidR="000C26A6" w:rsidRPr="000C26A6" w:rsidRDefault="000C26A6" w:rsidP="000C26A6">
      <w:proofErr w:type="gramStart"/>
      <w:r w:rsidRPr="000C26A6">
        <w:t>Název :</w:t>
      </w:r>
      <w:proofErr w:type="gramEnd"/>
      <w:r w:rsidRPr="000C26A6">
        <w:t xml:space="preserve"> Městská část Praha-Satalice </w:t>
      </w:r>
    </w:p>
    <w:p w14:paraId="168023AF" w14:textId="77777777" w:rsidR="000C26A6" w:rsidRPr="000C26A6" w:rsidRDefault="000C26A6" w:rsidP="000C26A6">
      <w:proofErr w:type="gramStart"/>
      <w:r w:rsidRPr="000C26A6">
        <w:t>Sídlo :</w:t>
      </w:r>
      <w:proofErr w:type="gramEnd"/>
      <w:r w:rsidRPr="000C26A6">
        <w:t xml:space="preserve"> K </w:t>
      </w:r>
      <w:proofErr w:type="spellStart"/>
      <w:r w:rsidRPr="000C26A6">
        <w:t>Radonicům</w:t>
      </w:r>
      <w:proofErr w:type="spellEnd"/>
      <w:r w:rsidRPr="000C26A6">
        <w:t xml:space="preserve"> 81, 190 15 Praha-Satalice </w:t>
      </w:r>
    </w:p>
    <w:p w14:paraId="4CE5AF4A" w14:textId="77777777" w:rsidR="000C26A6" w:rsidRPr="000C26A6" w:rsidRDefault="000C26A6" w:rsidP="000C26A6">
      <w:proofErr w:type="gramStart"/>
      <w:r w:rsidRPr="000C26A6">
        <w:t>IČ :</w:t>
      </w:r>
      <w:proofErr w:type="gramEnd"/>
      <w:r w:rsidRPr="000C26A6">
        <w:t xml:space="preserve"> 00240711 </w:t>
      </w:r>
    </w:p>
    <w:p w14:paraId="228284FF" w14:textId="77777777" w:rsidR="000C26A6" w:rsidRPr="000C26A6" w:rsidRDefault="000C26A6" w:rsidP="000C26A6">
      <w:proofErr w:type="gramStart"/>
      <w:r w:rsidRPr="000C26A6">
        <w:t>DIČ :</w:t>
      </w:r>
      <w:proofErr w:type="gramEnd"/>
      <w:r w:rsidRPr="000C26A6">
        <w:t xml:space="preserve"> CZ00240711 </w:t>
      </w:r>
    </w:p>
    <w:p w14:paraId="0434FFAF" w14:textId="77777777" w:rsidR="000C26A6" w:rsidRPr="000C26A6" w:rsidRDefault="000C26A6" w:rsidP="000C26A6">
      <w:proofErr w:type="gramStart"/>
      <w:r w:rsidRPr="000C26A6">
        <w:t>Zastoupený :</w:t>
      </w:r>
      <w:proofErr w:type="gramEnd"/>
      <w:r w:rsidRPr="000C26A6">
        <w:t xml:space="preserve"> Mgr. Milada Voborská </w:t>
      </w:r>
    </w:p>
    <w:p w14:paraId="00419646" w14:textId="77777777" w:rsidR="000C26A6" w:rsidRPr="000C26A6" w:rsidRDefault="000C26A6" w:rsidP="000C26A6">
      <w:r w:rsidRPr="000C26A6">
        <w:rPr>
          <w:b/>
          <w:bCs/>
        </w:rPr>
        <w:t xml:space="preserve">Zhotovitel: </w:t>
      </w:r>
    </w:p>
    <w:p w14:paraId="6F2EA9A8" w14:textId="77777777" w:rsidR="000C26A6" w:rsidRPr="000C26A6" w:rsidRDefault="000C26A6" w:rsidP="000C26A6">
      <w:proofErr w:type="gramStart"/>
      <w:r w:rsidRPr="000C26A6">
        <w:t>Název :</w:t>
      </w:r>
      <w:proofErr w:type="gramEnd"/>
      <w:r w:rsidRPr="000C26A6">
        <w:t xml:space="preserve"> ISES, s.r.o. </w:t>
      </w:r>
    </w:p>
    <w:p w14:paraId="6C2F9501" w14:textId="77777777" w:rsidR="000C26A6" w:rsidRPr="000C26A6" w:rsidRDefault="000C26A6" w:rsidP="000C26A6">
      <w:r w:rsidRPr="000C26A6">
        <w:t xml:space="preserve">Právní </w:t>
      </w:r>
      <w:proofErr w:type="gramStart"/>
      <w:r w:rsidRPr="000C26A6">
        <w:t>forma :</w:t>
      </w:r>
      <w:proofErr w:type="gramEnd"/>
      <w:r w:rsidRPr="000C26A6">
        <w:t xml:space="preserve"> Společnost s ručením omezeným </w:t>
      </w:r>
    </w:p>
    <w:p w14:paraId="78744311" w14:textId="77777777" w:rsidR="000C26A6" w:rsidRPr="000C26A6" w:rsidRDefault="000C26A6" w:rsidP="000C26A6">
      <w:proofErr w:type="gramStart"/>
      <w:r w:rsidRPr="000C26A6">
        <w:t>Sídlo :</w:t>
      </w:r>
      <w:proofErr w:type="gramEnd"/>
      <w:r w:rsidRPr="000C26A6">
        <w:t xml:space="preserve"> M. J. Lermontova 25, 160 00 Praha 6 </w:t>
      </w:r>
    </w:p>
    <w:p w14:paraId="1F3DDF2F" w14:textId="77777777" w:rsidR="000C26A6" w:rsidRPr="000C26A6" w:rsidRDefault="000C26A6" w:rsidP="000C26A6">
      <w:proofErr w:type="gramStart"/>
      <w:r w:rsidRPr="000C26A6">
        <w:t>IČ :</w:t>
      </w:r>
      <w:proofErr w:type="gramEnd"/>
      <w:r w:rsidRPr="000C26A6">
        <w:t xml:space="preserve"> 645 83 988 </w:t>
      </w:r>
    </w:p>
    <w:p w14:paraId="23A7D93B" w14:textId="77777777" w:rsidR="000C26A6" w:rsidRPr="000C26A6" w:rsidRDefault="000C26A6" w:rsidP="000C26A6">
      <w:proofErr w:type="gramStart"/>
      <w:r w:rsidRPr="000C26A6">
        <w:t>DIČ :</w:t>
      </w:r>
      <w:proofErr w:type="gramEnd"/>
      <w:r w:rsidRPr="000C26A6">
        <w:t xml:space="preserve"> CZ64583988 </w:t>
      </w:r>
    </w:p>
    <w:p w14:paraId="79456706" w14:textId="77777777" w:rsidR="000C26A6" w:rsidRPr="000C26A6" w:rsidRDefault="000C26A6" w:rsidP="000C26A6">
      <w:proofErr w:type="gramStart"/>
      <w:r w:rsidRPr="000C26A6">
        <w:t>Zastoupený :</w:t>
      </w:r>
      <w:proofErr w:type="gramEnd"/>
      <w:r w:rsidRPr="000C26A6">
        <w:t xml:space="preserve"> Ing. Vladimír Klatovský, CSc., jednatel </w:t>
      </w:r>
    </w:p>
    <w:p w14:paraId="768E5307" w14:textId="77777777" w:rsidR="000C26A6" w:rsidRPr="000C26A6" w:rsidRDefault="000C26A6" w:rsidP="000C26A6">
      <w:r w:rsidRPr="000C26A6">
        <w:t xml:space="preserve">Bankovní </w:t>
      </w:r>
      <w:proofErr w:type="gramStart"/>
      <w:r w:rsidRPr="000C26A6">
        <w:t>spojení :</w:t>
      </w:r>
      <w:proofErr w:type="gramEnd"/>
      <w:r w:rsidRPr="000C26A6">
        <w:t xml:space="preserve"> ČSOB Praha 1, </w:t>
      </w:r>
      <w:proofErr w:type="spellStart"/>
      <w:r w:rsidRPr="000C26A6">
        <w:t>č.ú</w:t>
      </w:r>
      <w:proofErr w:type="spellEnd"/>
      <w:r w:rsidRPr="000C26A6">
        <w:t xml:space="preserve">.: 700021603/0300 </w:t>
      </w:r>
    </w:p>
    <w:p w14:paraId="4D142B81" w14:textId="77777777" w:rsidR="000C26A6" w:rsidRPr="000C26A6" w:rsidRDefault="000C26A6" w:rsidP="000C26A6">
      <w:r w:rsidRPr="000C26A6">
        <w:rPr>
          <w:b/>
          <w:bCs/>
        </w:rPr>
        <w:t xml:space="preserve">II. </w:t>
      </w:r>
    </w:p>
    <w:p w14:paraId="19D5C65D" w14:textId="77777777" w:rsidR="000C26A6" w:rsidRPr="000C26A6" w:rsidRDefault="000C26A6" w:rsidP="000C26A6">
      <w:r w:rsidRPr="000C26A6">
        <w:t xml:space="preserve">Předmět smlouvy </w:t>
      </w:r>
    </w:p>
    <w:p w14:paraId="392790BD" w14:textId="77777777" w:rsidR="000C26A6" w:rsidRPr="000C26A6" w:rsidRDefault="000C26A6" w:rsidP="000C26A6">
      <w:r w:rsidRPr="000C26A6">
        <w:t>Předmětem smlouvy je zpracování žádosti o dotaci na akci „</w:t>
      </w:r>
      <w:r w:rsidRPr="000C26A6">
        <w:rPr>
          <w:b/>
          <w:bCs/>
        </w:rPr>
        <w:t>Elektromobil pro MČ Praha-Satalice</w:t>
      </w:r>
      <w:r w:rsidRPr="000C26A6">
        <w:t xml:space="preserve">“ z výzvy č. 11/2025 Národního programu ŽP, administrativní zajištění výběrového řízení a následná administrace projektu. </w:t>
      </w:r>
    </w:p>
    <w:p w14:paraId="3DE869EB" w14:textId="77777777" w:rsidR="000C26A6" w:rsidRPr="000C26A6" w:rsidRDefault="000C26A6" w:rsidP="000C26A6">
      <w:r w:rsidRPr="000C26A6">
        <w:t xml:space="preserve">Předmět smlouvy zahrnuje zejména o následující činnosti: </w:t>
      </w:r>
    </w:p>
    <w:p w14:paraId="18342C3F" w14:textId="77777777" w:rsidR="000C26A6" w:rsidRPr="000C26A6" w:rsidRDefault="000C26A6" w:rsidP="000C26A6">
      <w:r w:rsidRPr="000C26A6">
        <w:rPr>
          <w:b/>
          <w:bCs/>
        </w:rPr>
        <w:t>A) Zpracování a podání žádosti o dotaci</w:t>
      </w:r>
      <w:r w:rsidRPr="000C26A6">
        <w:t xml:space="preserve">, tj. zejména: </w:t>
      </w:r>
    </w:p>
    <w:p w14:paraId="2492387E" w14:textId="77777777" w:rsidR="000C26A6" w:rsidRPr="000C26A6" w:rsidRDefault="000C26A6" w:rsidP="000C26A6">
      <w:pPr>
        <w:numPr>
          <w:ilvl w:val="0"/>
          <w:numId w:val="1"/>
        </w:numPr>
      </w:pPr>
      <w:r w:rsidRPr="000C26A6">
        <w:t xml:space="preserve">zpracování žádosti a všech formulářů žádosti (dle rozsahu SFŽP ČR), </w:t>
      </w:r>
    </w:p>
    <w:p w14:paraId="188DF7D1" w14:textId="77777777" w:rsidR="000C26A6" w:rsidRPr="000C26A6" w:rsidRDefault="000C26A6" w:rsidP="000C26A6">
      <w:pPr>
        <w:numPr>
          <w:ilvl w:val="0"/>
          <w:numId w:val="1"/>
        </w:numPr>
      </w:pPr>
      <w:r w:rsidRPr="000C26A6">
        <w:t xml:space="preserve">zpracování popisu realizace projektu (dle rozsahu SFŽP ČR), </w:t>
      </w:r>
    </w:p>
    <w:p w14:paraId="1968CFB1" w14:textId="77777777" w:rsidR="000C26A6" w:rsidRPr="000C26A6" w:rsidRDefault="000C26A6" w:rsidP="000C26A6">
      <w:pPr>
        <w:numPr>
          <w:ilvl w:val="0"/>
          <w:numId w:val="1"/>
        </w:numPr>
      </w:pPr>
      <w:r w:rsidRPr="000C26A6">
        <w:t xml:space="preserve">kompletace finální žádosti, </w:t>
      </w:r>
    </w:p>
    <w:p w14:paraId="64F466B5" w14:textId="77777777" w:rsidR="000C26A6" w:rsidRPr="000C26A6" w:rsidRDefault="000C26A6" w:rsidP="000C26A6">
      <w:pPr>
        <w:numPr>
          <w:ilvl w:val="0"/>
          <w:numId w:val="1"/>
        </w:numPr>
      </w:pPr>
      <w:r w:rsidRPr="000C26A6">
        <w:t xml:space="preserve">administrace projektu v systému AIS, pokud bude administrátorovi přístup udělen. </w:t>
      </w:r>
    </w:p>
    <w:p w14:paraId="0F150A72" w14:textId="77777777" w:rsidR="000C26A6" w:rsidRPr="000C26A6" w:rsidRDefault="000C26A6" w:rsidP="000C26A6"/>
    <w:p w14:paraId="353E5EFA" w14:textId="77777777" w:rsidR="000C26A6" w:rsidRPr="000C26A6" w:rsidRDefault="000C26A6" w:rsidP="000C26A6">
      <w:r w:rsidRPr="000C26A6">
        <w:rPr>
          <w:b/>
          <w:bCs/>
        </w:rPr>
        <w:lastRenderedPageBreak/>
        <w:t xml:space="preserve">B) Zajištění výběrového řízení </w:t>
      </w:r>
    </w:p>
    <w:p w14:paraId="34CE7310" w14:textId="77777777" w:rsidR="000C26A6" w:rsidRPr="000C26A6" w:rsidRDefault="000C26A6" w:rsidP="000C26A6">
      <w:r w:rsidRPr="000C26A6">
        <w:rPr>
          <w:b/>
          <w:bCs/>
        </w:rPr>
        <w:t xml:space="preserve">V rámci přípravy návrhu zadávací dokumentace bude provedeno zejména: </w:t>
      </w:r>
    </w:p>
    <w:p w14:paraId="6F210945" w14:textId="77777777" w:rsidR="000C26A6" w:rsidRPr="000C26A6" w:rsidRDefault="000C26A6" w:rsidP="000C26A6">
      <w:pPr>
        <w:numPr>
          <w:ilvl w:val="0"/>
          <w:numId w:val="2"/>
        </w:numPr>
      </w:pPr>
      <w:r w:rsidRPr="000C26A6">
        <w:t xml:space="preserve">projednání záměru veřejné zakázky, konzultace vhodného postupu podmínek poskytovatele podpory s oprávněnou osobou objednatele, </w:t>
      </w:r>
    </w:p>
    <w:p w14:paraId="616DA1D0" w14:textId="77777777" w:rsidR="000C26A6" w:rsidRPr="000C26A6" w:rsidRDefault="000C26A6" w:rsidP="000C26A6">
      <w:r w:rsidRPr="000C26A6">
        <w:rPr>
          <w:i/>
          <w:iCs/>
        </w:rPr>
        <w:t xml:space="preserve">Stránka 2 z 4 </w:t>
      </w:r>
    </w:p>
    <w:p w14:paraId="45E58B3E" w14:textId="77777777" w:rsidR="000C26A6" w:rsidRPr="000C26A6" w:rsidRDefault="000C26A6" w:rsidP="000C26A6"/>
    <w:p w14:paraId="121BABD5" w14:textId="77777777" w:rsidR="000C26A6" w:rsidRPr="000C26A6" w:rsidRDefault="000C26A6" w:rsidP="000C26A6"/>
    <w:p w14:paraId="4A9BC9D8" w14:textId="77777777" w:rsidR="000C26A6" w:rsidRPr="000C26A6" w:rsidRDefault="000C26A6" w:rsidP="000C26A6">
      <w:pPr>
        <w:numPr>
          <w:ilvl w:val="0"/>
          <w:numId w:val="3"/>
        </w:numPr>
      </w:pPr>
      <w:r w:rsidRPr="000C26A6">
        <w:t xml:space="preserve">převzetí a zpracování technických specifikací a popisů technických a uživatelských standardů od zadavatele, </w:t>
      </w:r>
    </w:p>
    <w:p w14:paraId="559B378A" w14:textId="77777777" w:rsidR="000C26A6" w:rsidRPr="000C26A6" w:rsidRDefault="000C26A6" w:rsidP="000C26A6">
      <w:pPr>
        <w:numPr>
          <w:ilvl w:val="0"/>
          <w:numId w:val="3"/>
        </w:numPr>
      </w:pPr>
      <w:r w:rsidRPr="000C26A6">
        <w:t xml:space="preserve">vypracování čistopisu zadávacích podmínek. </w:t>
      </w:r>
    </w:p>
    <w:p w14:paraId="3EAE7B54" w14:textId="77777777" w:rsidR="000C26A6" w:rsidRPr="000C26A6" w:rsidRDefault="000C26A6" w:rsidP="000C26A6"/>
    <w:p w14:paraId="46BE2952" w14:textId="77777777" w:rsidR="000C26A6" w:rsidRPr="000C26A6" w:rsidRDefault="000C26A6" w:rsidP="000C26A6">
      <w:r w:rsidRPr="000C26A6">
        <w:rPr>
          <w:b/>
          <w:bCs/>
        </w:rPr>
        <w:t xml:space="preserve">V rámci administrace a organizace výběrového řízení bude provedeno zejména: </w:t>
      </w:r>
    </w:p>
    <w:p w14:paraId="08440689" w14:textId="77777777" w:rsidR="000C26A6" w:rsidRPr="000C26A6" w:rsidRDefault="000C26A6" w:rsidP="000C26A6">
      <w:pPr>
        <w:numPr>
          <w:ilvl w:val="0"/>
          <w:numId w:val="4"/>
        </w:numPr>
      </w:pPr>
      <w:r w:rsidRPr="000C26A6">
        <w:t xml:space="preserve">příprava podkladů pro uveřejnění na profilu zadavatele/úřední desku, </w:t>
      </w:r>
    </w:p>
    <w:p w14:paraId="34BB5DC8" w14:textId="77777777" w:rsidR="000C26A6" w:rsidRPr="000C26A6" w:rsidRDefault="000C26A6" w:rsidP="000C26A6">
      <w:pPr>
        <w:numPr>
          <w:ilvl w:val="0"/>
          <w:numId w:val="4"/>
        </w:numPr>
      </w:pPr>
      <w:r w:rsidRPr="000C26A6">
        <w:t xml:space="preserve">posouzení nabídek z hlediska plnění požadavků zadavatele stanovených v zadávacích podmínkách, včetně vypracování protokolu a zprávy z jednání hodnotící komise pro posouzení a hodnocení nabídek, </w:t>
      </w:r>
    </w:p>
    <w:p w14:paraId="13099B59" w14:textId="77777777" w:rsidR="000C26A6" w:rsidRPr="000C26A6" w:rsidRDefault="000C26A6" w:rsidP="000C26A6">
      <w:pPr>
        <w:numPr>
          <w:ilvl w:val="0"/>
          <w:numId w:val="4"/>
        </w:numPr>
      </w:pPr>
      <w:r w:rsidRPr="000C26A6">
        <w:t xml:space="preserve">vypracování návrhů rozhodnutí zadavatele plynoucích z doporučení hodnotící komise při posouzení a hodnocení nabídek zájemců a uchazečů, </w:t>
      </w:r>
    </w:p>
    <w:p w14:paraId="72996910" w14:textId="77777777" w:rsidR="000C26A6" w:rsidRPr="000C26A6" w:rsidRDefault="000C26A6" w:rsidP="000C26A6">
      <w:pPr>
        <w:numPr>
          <w:ilvl w:val="0"/>
          <w:numId w:val="4"/>
        </w:numPr>
      </w:pPr>
      <w:r w:rsidRPr="000C26A6">
        <w:t xml:space="preserve">kompletace a předání dokumentace o zadání veřejné zakázky a originálních vyhotovení veškerých nabídek oprávněné osobě zadavatele a příprava k archivaci. </w:t>
      </w:r>
    </w:p>
    <w:p w14:paraId="026092D0" w14:textId="77777777" w:rsidR="000C26A6" w:rsidRPr="000C26A6" w:rsidRDefault="000C26A6" w:rsidP="000C26A6"/>
    <w:p w14:paraId="4DECDCC0" w14:textId="77777777" w:rsidR="000C26A6" w:rsidRPr="000C26A6" w:rsidRDefault="000C26A6" w:rsidP="000C26A6">
      <w:r w:rsidRPr="000C26A6">
        <w:t xml:space="preserve">Pozn.: Výše uvedený postup plnění v rámci administrace a organizace výběrového řízení může být upraven v souladu s vnitřními předpisy a požadavky zadavatele za předpokladu dodržení podmínek poskytovatele dotace. </w:t>
      </w:r>
    </w:p>
    <w:p w14:paraId="12DD8B85" w14:textId="77777777" w:rsidR="000C26A6" w:rsidRPr="000C26A6" w:rsidRDefault="000C26A6" w:rsidP="000C26A6">
      <w:r w:rsidRPr="000C26A6">
        <w:rPr>
          <w:b/>
          <w:bCs/>
        </w:rPr>
        <w:t xml:space="preserve">C) Zajištění smlouvy s poskytovatelem podpory </w:t>
      </w:r>
    </w:p>
    <w:p w14:paraId="583E28A9" w14:textId="77777777" w:rsidR="000C26A6" w:rsidRPr="000C26A6" w:rsidRDefault="000C26A6" w:rsidP="000C26A6">
      <w:pPr>
        <w:numPr>
          <w:ilvl w:val="0"/>
          <w:numId w:val="5"/>
        </w:numPr>
      </w:pPr>
      <w:r w:rsidRPr="000C26A6">
        <w:t xml:space="preserve">příprava, zpracování a kompletace všech formulářů a dokladů předkládaných poskytovateli dotace „smlouvě“ (dle rozsahu SFŽP ČR). </w:t>
      </w:r>
    </w:p>
    <w:p w14:paraId="63AAAFD6" w14:textId="77777777" w:rsidR="000C26A6" w:rsidRPr="000C26A6" w:rsidRDefault="000C26A6" w:rsidP="000C26A6"/>
    <w:p w14:paraId="262899C8" w14:textId="77777777" w:rsidR="000C26A6" w:rsidRPr="000C26A6" w:rsidRDefault="000C26A6" w:rsidP="000C26A6">
      <w:r w:rsidRPr="000C26A6">
        <w:rPr>
          <w:b/>
          <w:bCs/>
        </w:rPr>
        <w:t xml:space="preserve">D) Následná administrace projektu </w:t>
      </w:r>
    </w:p>
    <w:p w14:paraId="7EA05CDA" w14:textId="77777777" w:rsidR="000C26A6" w:rsidRPr="000C26A6" w:rsidRDefault="000C26A6" w:rsidP="000C26A6">
      <w:pPr>
        <w:numPr>
          <w:ilvl w:val="0"/>
          <w:numId w:val="6"/>
        </w:numPr>
      </w:pPr>
      <w:r w:rsidRPr="000C26A6">
        <w:t xml:space="preserve">příprava, zpracování a kompletace všech formulářů a dokladů předkládaných poskytovateli dotace „k žádosti o uvolnění finančních prostředků“ (dle rozsahu SFŽP ČR), </w:t>
      </w:r>
    </w:p>
    <w:p w14:paraId="6917172C" w14:textId="77777777" w:rsidR="000C26A6" w:rsidRPr="000C26A6" w:rsidRDefault="000C26A6" w:rsidP="000C26A6">
      <w:pPr>
        <w:numPr>
          <w:ilvl w:val="0"/>
          <w:numId w:val="6"/>
        </w:numPr>
      </w:pPr>
      <w:r w:rsidRPr="000C26A6">
        <w:t xml:space="preserve">příprava, zpracování a kompletace všech formulářů a dokladů předkládaných poskytovateli dotace k závěrečnému vyúčtování akce. </w:t>
      </w:r>
    </w:p>
    <w:p w14:paraId="35E0D61E" w14:textId="77777777" w:rsidR="000C26A6" w:rsidRPr="000C26A6" w:rsidRDefault="000C26A6" w:rsidP="000C26A6"/>
    <w:p w14:paraId="0D82FC4B" w14:textId="77777777" w:rsidR="000C26A6" w:rsidRPr="000C26A6" w:rsidRDefault="000C26A6" w:rsidP="000C26A6">
      <w:r w:rsidRPr="000C26A6">
        <w:rPr>
          <w:b/>
          <w:bCs/>
        </w:rPr>
        <w:t xml:space="preserve">III. </w:t>
      </w:r>
    </w:p>
    <w:p w14:paraId="75156FFB" w14:textId="77777777" w:rsidR="000C26A6" w:rsidRPr="000C26A6" w:rsidRDefault="000C26A6" w:rsidP="000C26A6">
      <w:r w:rsidRPr="000C26A6">
        <w:rPr>
          <w:b/>
          <w:bCs/>
        </w:rPr>
        <w:lastRenderedPageBreak/>
        <w:t xml:space="preserve">Cena plnění </w:t>
      </w:r>
    </w:p>
    <w:tbl>
      <w:tblPr>
        <w:tblW w:w="918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97"/>
        <w:gridCol w:w="2297"/>
        <w:gridCol w:w="2297"/>
        <w:gridCol w:w="2297"/>
      </w:tblGrid>
      <w:tr w:rsidR="000C26A6" w:rsidRPr="000C26A6" w14:paraId="34ADDA2E" w14:textId="77777777" w:rsidTr="000C26A6">
        <w:tblPrEx>
          <w:tblCellMar>
            <w:top w:w="0" w:type="dxa"/>
            <w:bottom w:w="0" w:type="dxa"/>
          </w:tblCellMar>
        </w:tblPrEx>
        <w:trPr>
          <w:trHeight w:val="278"/>
        </w:trPr>
        <w:tc>
          <w:tcPr>
            <w:tcW w:w="2297" w:type="dxa"/>
            <w:tcBorders>
              <w:top w:val="none" w:sz="6" w:space="0" w:color="auto"/>
              <w:bottom w:val="none" w:sz="6" w:space="0" w:color="auto"/>
              <w:right w:val="none" w:sz="6" w:space="0" w:color="auto"/>
            </w:tcBorders>
          </w:tcPr>
          <w:p w14:paraId="5275ECDD" w14:textId="77777777" w:rsidR="000C26A6" w:rsidRPr="000C26A6" w:rsidRDefault="000C26A6" w:rsidP="000C26A6">
            <w:r w:rsidRPr="000C26A6">
              <w:t xml:space="preserve">Cena za dílo v uvedeném rozsahu je stanovena dohodou ve smyslu závazných předpisů o smluvních cenách: </w:t>
            </w:r>
            <w:r w:rsidRPr="000C26A6">
              <w:rPr>
                <w:b/>
                <w:bCs/>
              </w:rPr>
              <w:t xml:space="preserve">Činnost </w:t>
            </w:r>
          </w:p>
        </w:tc>
        <w:tc>
          <w:tcPr>
            <w:tcW w:w="2297" w:type="dxa"/>
            <w:tcBorders>
              <w:top w:val="none" w:sz="6" w:space="0" w:color="auto"/>
              <w:left w:val="none" w:sz="6" w:space="0" w:color="auto"/>
              <w:bottom w:val="none" w:sz="6" w:space="0" w:color="auto"/>
              <w:right w:val="none" w:sz="6" w:space="0" w:color="auto"/>
            </w:tcBorders>
          </w:tcPr>
          <w:p w14:paraId="110CBDB8" w14:textId="77777777" w:rsidR="000C26A6" w:rsidRPr="000C26A6" w:rsidRDefault="000C26A6" w:rsidP="000C26A6">
            <w:r w:rsidRPr="000C26A6">
              <w:rPr>
                <w:b/>
                <w:bCs/>
              </w:rPr>
              <w:t xml:space="preserve">Cena bez DPH (Kč) </w:t>
            </w:r>
          </w:p>
        </w:tc>
        <w:tc>
          <w:tcPr>
            <w:tcW w:w="2297" w:type="dxa"/>
            <w:tcBorders>
              <w:top w:val="none" w:sz="6" w:space="0" w:color="auto"/>
              <w:left w:val="none" w:sz="6" w:space="0" w:color="auto"/>
              <w:bottom w:val="none" w:sz="6" w:space="0" w:color="auto"/>
              <w:right w:val="none" w:sz="6" w:space="0" w:color="auto"/>
            </w:tcBorders>
          </w:tcPr>
          <w:p w14:paraId="30D6F0BF" w14:textId="77777777" w:rsidR="000C26A6" w:rsidRPr="000C26A6" w:rsidRDefault="000C26A6" w:rsidP="000C26A6">
            <w:r w:rsidRPr="000C26A6">
              <w:rPr>
                <w:b/>
                <w:bCs/>
              </w:rPr>
              <w:t xml:space="preserve">DPH ve výši </w:t>
            </w:r>
            <w:proofErr w:type="gramStart"/>
            <w:r w:rsidRPr="000C26A6">
              <w:rPr>
                <w:b/>
                <w:bCs/>
              </w:rPr>
              <w:t>21%</w:t>
            </w:r>
            <w:proofErr w:type="gramEnd"/>
            <w:r w:rsidRPr="000C26A6">
              <w:rPr>
                <w:b/>
                <w:bCs/>
              </w:rPr>
              <w:t xml:space="preserve"> (Kč) </w:t>
            </w:r>
          </w:p>
        </w:tc>
        <w:tc>
          <w:tcPr>
            <w:tcW w:w="2297" w:type="dxa"/>
            <w:tcBorders>
              <w:top w:val="none" w:sz="6" w:space="0" w:color="auto"/>
              <w:left w:val="none" w:sz="6" w:space="0" w:color="auto"/>
              <w:bottom w:val="none" w:sz="6" w:space="0" w:color="auto"/>
            </w:tcBorders>
          </w:tcPr>
          <w:p w14:paraId="40DE8C01" w14:textId="77777777" w:rsidR="000C26A6" w:rsidRPr="000C26A6" w:rsidRDefault="000C26A6" w:rsidP="000C26A6">
            <w:r w:rsidRPr="000C26A6">
              <w:rPr>
                <w:b/>
                <w:bCs/>
              </w:rPr>
              <w:t xml:space="preserve">Cena vč. DPH (Kč) </w:t>
            </w:r>
          </w:p>
        </w:tc>
      </w:tr>
      <w:tr w:rsidR="000C26A6" w:rsidRPr="000C26A6" w14:paraId="0C95F2AD" w14:textId="77777777" w:rsidTr="000C26A6">
        <w:tblPrEx>
          <w:tblCellMar>
            <w:top w:w="0" w:type="dxa"/>
            <w:bottom w:w="0" w:type="dxa"/>
          </w:tblCellMar>
        </w:tblPrEx>
        <w:trPr>
          <w:trHeight w:val="109"/>
        </w:trPr>
        <w:tc>
          <w:tcPr>
            <w:tcW w:w="2297" w:type="dxa"/>
            <w:tcBorders>
              <w:top w:val="none" w:sz="6" w:space="0" w:color="auto"/>
              <w:bottom w:val="none" w:sz="6" w:space="0" w:color="auto"/>
              <w:right w:val="none" w:sz="6" w:space="0" w:color="auto"/>
            </w:tcBorders>
          </w:tcPr>
          <w:p w14:paraId="0C97EC0F" w14:textId="77777777" w:rsidR="000C26A6" w:rsidRPr="000C26A6" w:rsidRDefault="000C26A6" w:rsidP="000C26A6">
            <w:r w:rsidRPr="000C26A6">
              <w:t xml:space="preserve">Zpracování a podání žádosti o dotaci </w:t>
            </w:r>
          </w:p>
        </w:tc>
        <w:tc>
          <w:tcPr>
            <w:tcW w:w="2297" w:type="dxa"/>
            <w:tcBorders>
              <w:top w:val="none" w:sz="6" w:space="0" w:color="auto"/>
              <w:left w:val="none" w:sz="6" w:space="0" w:color="auto"/>
              <w:bottom w:val="none" w:sz="6" w:space="0" w:color="auto"/>
              <w:right w:val="none" w:sz="6" w:space="0" w:color="auto"/>
            </w:tcBorders>
          </w:tcPr>
          <w:p w14:paraId="3B47AAA8" w14:textId="77777777" w:rsidR="000C26A6" w:rsidRPr="000C26A6" w:rsidRDefault="000C26A6" w:rsidP="000C26A6">
            <w:r w:rsidRPr="000C26A6">
              <w:t xml:space="preserve">13 000,- </w:t>
            </w:r>
          </w:p>
        </w:tc>
        <w:tc>
          <w:tcPr>
            <w:tcW w:w="2297" w:type="dxa"/>
            <w:tcBorders>
              <w:top w:val="none" w:sz="6" w:space="0" w:color="auto"/>
              <w:left w:val="none" w:sz="6" w:space="0" w:color="auto"/>
              <w:bottom w:val="none" w:sz="6" w:space="0" w:color="auto"/>
              <w:right w:val="none" w:sz="6" w:space="0" w:color="auto"/>
            </w:tcBorders>
          </w:tcPr>
          <w:p w14:paraId="476AB324" w14:textId="77777777" w:rsidR="000C26A6" w:rsidRPr="000C26A6" w:rsidRDefault="000C26A6" w:rsidP="000C26A6">
            <w:r w:rsidRPr="000C26A6">
              <w:t xml:space="preserve">2 730,- </w:t>
            </w:r>
          </w:p>
        </w:tc>
        <w:tc>
          <w:tcPr>
            <w:tcW w:w="2297" w:type="dxa"/>
            <w:tcBorders>
              <w:top w:val="none" w:sz="6" w:space="0" w:color="auto"/>
              <w:left w:val="none" w:sz="6" w:space="0" w:color="auto"/>
              <w:bottom w:val="none" w:sz="6" w:space="0" w:color="auto"/>
            </w:tcBorders>
          </w:tcPr>
          <w:p w14:paraId="63674A30" w14:textId="77777777" w:rsidR="000C26A6" w:rsidRPr="000C26A6" w:rsidRDefault="000C26A6" w:rsidP="000C26A6">
            <w:r w:rsidRPr="000C26A6">
              <w:t xml:space="preserve">15 730,- </w:t>
            </w:r>
          </w:p>
        </w:tc>
      </w:tr>
      <w:tr w:rsidR="000C26A6" w:rsidRPr="000C26A6" w14:paraId="36B3FEE4" w14:textId="77777777" w:rsidTr="000C26A6">
        <w:tblPrEx>
          <w:tblCellMar>
            <w:top w:w="0" w:type="dxa"/>
            <w:bottom w:w="0" w:type="dxa"/>
          </w:tblCellMar>
        </w:tblPrEx>
        <w:trPr>
          <w:trHeight w:val="109"/>
        </w:trPr>
        <w:tc>
          <w:tcPr>
            <w:tcW w:w="2297" w:type="dxa"/>
            <w:tcBorders>
              <w:top w:val="none" w:sz="6" w:space="0" w:color="auto"/>
              <w:bottom w:val="none" w:sz="6" w:space="0" w:color="auto"/>
              <w:right w:val="none" w:sz="6" w:space="0" w:color="auto"/>
            </w:tcBorders>
          </w:tcPr>
          <w:p w14:paraId="6F8B8527" w14:textId="77777777" w:rsidR="000C26A6" w:rsidRPr="000C26A6" w:rsidRDefault="000C26A6" w:rsidP="000C26A6">
            <w:r w:rsidRPr="000C26A6">
              <w:t xml:space="preserve">Administrativní zajištění výběrového řízení </w:t>
            </w:r>
          </w:p>
        </w:tc>
        <w:tc>
          <w:tcPr>
            <w:tcW w:w="2297" w:type="dxa"/>
            <w:tcBorders>
              <w:top w:val="none" w:sz="6" w:space="0" w:color="auto"/>
              <w:left w:val="none" w:sz="6" w:space="0" w:color="auto"/>
              <w:bottom w:val="none" w:sz="6" w:space="0" w:color="auto"/>
              <w:right w:val="none" w:sz="6" w:space="0" w:color="auto"/>
            </w:tcBorders>
          </w:tcPr>
          <w:p w14:paraId="56800CBF" w14:textId="77777777" w:rsidR="000C26A6" w:rsidRPr="000C26A6" w:rsidRDefault="000C26A6" w:rsidP="000C26A6">
            <w:r w:rsidRPr="000C26A6">
              <w:t xml:space="preserve">30 000,- </w:t>
            </w:r>
          </w:p>
        </w:tc>
        <w:tc>
          <w:tcPr>
            <w:tcW w:w="2297" w:type="dxa"/>
            <w:tcBorders>
              <w:top w:val="none" w:sz="6" w:space="0" w:color="auto"/>
              <w:left w:val="none" w:sz="6" w:space="0" w:color="auto"/>
              <w:bottom w:val="none" w:sz="6" w:space="0" w:color="auto"/>
              <w:right w:val="none" w:sz="6" w:space="0" w:color="auto"/>
            </w:tcBorders>
          </w:tcPr>
          <w:p w14:paraId="0975E4AA" w14:textId="77777777" w:rsidR="000C26A6" w:rsidRPr="000C26A6" w:rsidRDefault="000C26A6" w:rsidP="000C26A6">
            <w:r w:rsidRPr="000C26A6">
              <w:t xml:space="preserve">6 300,- </w:t>
            </w:r>
          </w:p>
        </w:tc>
        <w:tc>
          <w:tcPr>
            <w:tcW w:w="2297" w:type="dxa"/>
            <w:tcBorders>
              <w:top w:val="none" w:sz="6" w:space="0" w:color="auto"/>
              <w:left w:val="none" w:sz="6" w:space="0" w:color="auto"/>
              <w:bottom w:val="none" w:sz="6" w:space="0" w:color="auto"/>
            </w:tcBorders>
          </w:tcPr>
          <w:p w14:paraId="0AD2091B" w14:textId="77777777" w:rsidR="000C26A6" w:rsidRPr="000C26A6" w:rsidRDefault="000C26A6" w:rsidP="000C26A6">
            <w:r w:rsidRPr="000C26A6">
              <w:t xml:space="preserve">36 300,- </w:t>
            </w:r>
          </w:p>
        </w:tc>
      </w:tr>
      <w:tr w:rsidR="000C26A6" w:rsidRPr="000C26A6" w14:paraId="4B04B753" w14:textId="77777777" w:rsidTr="000C26A6">
        <w:tblPrEx>
          <w:tblCellMar>
            <w:top w:w="0" w:type="dxa"/>
            <w:bottom w:w="0" w:type="dxa"/>
          </w:tblCellMar>
        </w:tblPrEx>
        <w:trPr>
          <w:trHeight w:val="109"/>
        </w:trPr>
        <w:tc>
          <w:tcPr>
            <w:tcW w:w="2297" w:type="dxa"/>
            <w:tcBorders>
              <w:top w:val="none" w:sz="6" w:space="0" w:color="auto"/>
              <w:bottom w:val="none" w:sz="6" w:space="0" w:color="auto"/>
              <w:right w:val="none" w:sz="6" w:space="0" w:color="auto"/>
            </w:tcBorders>
          </w:tcPr>
          <w:p w14:paraId="32463F81" w14:textId="77777777" w:rsidR="000C26A6" w:rsidRPr="000C26A6" w:rsidRDefault="000C26A6" w:rsidP="000C26A6">
            <w:r w:rsidRPr="000C26A6">
              <w:t xml:space="preserve">Zajištění smlouvy s poskytovatelem podpory </w:t>
            </w:r>
          </w:p>
        </w:tc>
        <w:tc>
          <w:tcPr>
            <w:tcW w:w="2297" w:type="dxa"/>
            <w:tcBorders>
              <w:top w:val="none" w:sz="6" w:space="0" w:color="auto"/>
              <w:left w:val="none" w:sz="6" w:space="0" w:color="auto"/>
              <w:bottom w:val="none" w:sz="6" w:space="0" w:color="auto"/>
              <w:right w:val="none" w:sz="6" w:space="0" w:color="auto"/>
            </w:tcBorders>
          </w:tcPr>
          <w:p w14:paraId="4BFF0710" w14:textId="77777777" w:rsidR="000C26A6" w:rsidRPr="000C26A6" w:rsidRDefault="000C26A6" w:rsidP="000C26A6">
            <w:r w:rsidRPr="000C26A6">
              <w:t xml:space="preserve">5 000,- </w:t>
            </w:r>
          </w:p>
        </w:tc>
        <w:tc>
          <w:tcPr>
            <w:tcW w:w="2297" w:type="dxa"/>
            <w:tcBorders>
              <w:top w:val="none" w:sz="6" w:space="0" w:color="auto"/>
              <w:left w:val="none" w:sz="6" w:space="0" w:color="auto"/>
              <w:bottom w:val="none" w:sz="6" w:space="0" w:color="auto"/>
              <w:right w:val="none" w:sz="6" w:space="0" w:color="auto"/>
            </w:tcBorders>
          </w:tcPr>
          <w:p w14:paraId="11BECA6E" w14:textId="77777777" w:rsidR="000C26A6" w:rsidRPr="000C26A6" w:rsidRDefault="000C26A6" w:rsidP="000C26A6">
            <w:r w:rsidRPr="000C26A6">
              <w:t xml:space="preserve">1 050,- </w:t>
            </w:r>
          </w:p>
        </w:tc>
        <w:tc>
          <w:tcPr>
            <w:tcW w:w="2297" w:type="dxa"/>
            <w:tcBorders>
              <w:top w:val="none" w:sz="6" w:space="0" w:color="auto"/>
              <w:left w:val="none" w:sz="6" w:space="0" w:color="auto"/>
              <w:bottom w:val="none" w:sz="6" w:space="0" w:color="auto"/>
            </w:tcBorders>
          </w:tcPr>
          <w:p w14:paraId="5F689ABA" w14:textId="77777777" w:rsidR="000C26A6" w:rsidRPr="000C26A6" w:rsidRDefault="000C26A6" w:rsidP="000C26A6">
            <w:r w:rsidRPr="000C26A6">
              <w:t xml:space="preserve">6 050,- </w:t>
            </w:r>
          </w:p>
        </w:tc>
      </w:tr>
      <w:tr w:rsidR="000C26A6" w:rsidRPr="000C26A6" w14:paraId="60714F56" w14:textId="77777777" w:rsidTr="000C26A6">
        <w:tblPrEx>
          <w:tblCellMar>
            <w:top w:w="0" w:type="dxa"/>
            <w:bottom w:w="0" w:type="dxa"/>
          </w:tblCellMar>
        </w:tblPrEx>
        <w:trPr>
          <w:trHeight w:val="109"/>
        </w:trPr>
        <w:tc>
          <w:tcPr>
            <w:tcW w:w="2297" w:type="dxa"/>
            <w:tcBorders>
              <w:top w:val="none" w:sz="6" w:space="0" w:color="auto"/>
              <w:bottom w:val="none" w:sz="6" w:space="0" w:color="auto"/>
              <w:right w:val="none" w:sz="6" w:space="0" w:color="auto"/>
            </w:tcBorders>
          </w:tcPr>
          <w:p w14:paraId="0EF9B842" w14:textId="77777777" w:rsidR="000C26A6" w:rsidRPr="000C26A6" w:rsidRDefault="000C26A6" w:rsidP="000C26A6">
            <w:r w:rsidRPr="000C26A6">
              <w:t xml:space="preserve">Následná administrace projektu </w:t>
            </w:r>
          </w:p>
        </w:tc>
        <w:tc>
          <w:tcPr>
            <w:tcW w:w="2297" w:type="dxa"/>
            <w:tcBorders>
              <w:top w:val="none" w:sz="6" w:space="0" w:color="auto"/>
              <w:left w:val="none" w:sz="6" w:space="0" w:color="auto"/>
              <w:bottom w:val="none" w:sz="6" w:space="0" w:color="auto"/>
              <w:right w:val="none" w:sz="6" w:space="0" w:color="auto"/>
            </w:tcBorders>
          </w:tcPr>
          <w:p w14:paraId="1D1E6BEF" w14:textId="77777777" w:rsidR="000C26A6" w:rsidRPr="000C26A6" w:rsidRDefault="000C26A6" w:rsidP="000C26A6">
            <w:r w:rsidRPr="000C26A6">
              <w:t xml:space="preserve">7 000,- </w:t>
            </w:r>
          </w:p>
        </w:tc>
        <w:tc>
          <w:tcPr>
            <w:tcW w:w="2297" w:type="dxa"/>
            <w:tcBorders>
              <w:top w:val="none" w:sz="6" w:space="0" w:color="auto"/>
              <w:left w:val="none" w:sz="6" w:space="0" w:color="auto"/>
              <w:bottom w:val="none" w:sz="6" w:space="0" w:color="auto"/>
              <w:right w:val="none" w:sz="6" w:space="0" w:color="auto"/>
            </w:tcBorders>
          </w:tcPr>
          <w:p w14:paraId="331F6CE4" w14:textId="77777777" w:rsidR="000C26A6" w:rsidRPr="000C26A6" w:rsidRDefault="000C26A6" w:rsidP="000C26A6">
            <w:r w:rsidRPr="000C26A6">
              <w:t xml:space="preserve">1 470,- </w:t>
            </w:r>
          </w:p>
        </w:tc>
        <w:tc>
          <w:tcPr>
            <w:tcW w:w="2297" w:type="dxa"/>
            <w:tcBorders>
              <w:top w:val="none" w:sz="6" w:space="0" w:color="auto"/>
              <w:left w:val="none" w:sz="6" w:space="0" w:color="auto"/>
              <w:bottom w:val="none" w:sz="6" w:space="0" w:color="auto"/>
            </w:tcBorders>
          </w:tcPr>
          <w:p w14:paraId="57A14217" w14:textId="77777777" w:rsidR="000C26A6" w:rsidRPr="000C26A6" w:rsidRDefault="000C26A6" w:rsidP="000C26A6">
            <w:r w:rsidRPr="000C26A6">
              <w:t xml:space="preserve">8 470,- </w:t>
            </w:r>
          </w:p>
        </w:tc>
      </w:tr>
    </w:tbl>
    <w:p w14:paraId="3BAC7E9C" w14:textId="77777777" w:rsidR="000C26A6" w:rsidRPr="000C26A6" w:rsidRDefault="000C26A6" w:rsidP="000C26A6">
      <w:r w:rsidRPr="000C26A6">
        <w:t xml:space="preserve">c) Doba splatnosti faktury je 14 dnů od vystavení. </w:t>
      </w:r>
    </w:p>
    <w:p w14:paraId="638206CE" w14:textId="77777777" w:rsidR="000C26A6" w:rsidRPr="000C26A6" w:rsidRDefault="000C26A6" w:rsidP="000C26A6">
      <w:r w:rsidRPr="000C26A6">
        <w:t xml:space="preserve">2) Neuhradí-li objednatel vystavenou fakturu v dohodnutém termínu, je povinen uhradit penále ve výši 0,05 % za každý den prodlení. </w:t>
      </w:r>
    </w:p>
    <w:p w14:paraId="0E4BE867" w14:textId="77777777" w:rsidR="000C26A6" w:rsidRPr="000C26A6" w:rsidRDefault="000C26A6" w:rsidP="000C26A6">
      <w:r w:rsidRPr="000C26A6">
        <w:t xml:space="preserve">Naproti tomu, nesplní-li zhotovitel termíny plnění, poskytne objednateli slevu z fakturované ceny, a to ve výši </w:t>
      </w:r>
      <w:proofErr w:type="gramStart"/>
      <w:r w:rsidRPr="000C26A6">
        <w:t>0,05%</w:t>
      </w:r>
      <w:proofErr w:type="gramEnd"/>
      <w:r w:rsidRPr="000C26A6">
        <w:t xml:space="preserve"> za každý den prodlení. </w:t>
      </w:r>
    </w:p>
    <w:p w14:paraId="54BFDE4D" w14:textId="111F698C" w:rsidR="00FD5687" w:rsidRDefault="000C26A6" w:rsidP="000C26A6">
      <w:r w:rsidRPr="000C26A6">
        <w:t xml:space="preserve">3) Platby provádí objednatel bezhotovostním způsobem ve prospěch účtu zhotovitele, vedenému u ČSOB Praha 1, </w:t>
      </w:r>
      <w:proofErr w:type="spellStart"/>
      <w:r w:rsidRPr="000C26A6">
        <w:t>č.ú</w:t>
      </w:r>
      <w:proofErr w:type="spellEnd"/>
      <w:r w:rsidRPr="000C26A6">
        <w:t>. 700021603/0300.</w:t>
      </w:r>
    </w:p>
    <w:p w14:paraId="7E0B643A" w14:textId="797E507A" w:rsidR="000C26A6" w:rsidRDefault="000C26A6" w:rsidP="000C26A6">
      <w:pPr>
        <w:rPr>
          <w:i/>
          <w:iCs/>
        </w:rPr>
      </w:pPr>
      <w:r w:rsidRPr="000C26A6">
        <w:rPr>
          <w:i/>
          <w:iCs/>
        </w:rPr>
        <w:t>Stránka 3 z</w:t>
      </w:r>
      <w:r>
        <w:rPr>
          <w:i/>
          <w:iCs/>
        </w:rPr>
        <w:t> </w:t>
      </w:r>
      <w:r w:rsidRPr="000C26A6">
        <w:rPr>
          <w:i/>
          <w:iCs/>
        </w:rPr>
        <w:t>4</w:t>
      </w:r>
    </w:p>
    <w:p w14:paraId="36ABE857" w14:textId="77777777" w:rsidR="000C26A6" w:rsidRPr="000C26A6" w:rsidRDefault="000C26A6" w:rsidP="000C26A6">
      <w:r w:rsidRPr="000C26A6">
        <w:rPr>
          <w:b/>
          <w:bCs/>
        </w:rPr>
        <w:t xml:space="preserve">VI. </w:t>
      </w:r>
    </w:p>
    <w:p w14:paraId="7BFD11F7" w14:textId="77777777" w:rsidR="000C26A6" w:rsidRPr="000C26A6" w:rsidRDefault="000C26A6" w:rsidP="000C26A6">
      <w:r w:rsidRPr="000C26A6">
        <w:rPr>
          <w:b/>
          <w:bCs/>
        </w:rPr>
        <w:t xml:space="preserve">Spolupůsobení objednatele </w:t>
      </w:r>
    </w:p>
    <w:p w14:paraId="36A7320F" w14:textId="77777777" w:rsidR="000C26A6" w:rsidRPr="000C26A6" w:rsidRDefault="000C26A6" w:rsidP="000C26A6">
      <w:r w:rsidRPr="000C26A6">
        <w:t xml:space="preserve">1) Objednatel se zavazuje předat zhotoviteli veškeré podklady potřebné pro realizaci díla. Práce na realizaci předmětu smlouvy budou zahájeny ihned po podpisu smlouvy oběma smluvními stranami. Objednatel předá zejména technickou specifikaci předmětu dotace, vnitřní předpis pro zadávání zakázek malého rozsahu (pokud takovým předpisem disponuje), a veškeré další relevantní informace. </w:t>
      </w:r>
    </w:p>
    <w:p w14:paraId="473830B5" w14:textId="77777777" w:rsidR="000C26A6" w:rsidRPr="000C26A6" w:rsidRDefault="000C26A6" w:rsidP="000C26A6">
      <w:r w:rsidRPr="000C26A6">
        <w:rPr>
          <w:b/>
          <w:bCs/>
        </w:rPr>
        <w:t xml:space="preserve">VII. </w:t>
      </w:r>
    </w:p>
    <w:p w14:paraId="51B15FA0" w14:textId="77777777" w:rsidR="000C26A6" w:rsidRPr="000C26A6" w:rsidRDefault="000C26A6" w:rsidP="000C26A6">
      <w:r w:rsidRPr="000C26A6">
        <w:rPr>
          <w:b/>
          <w:bCs/>
        </w:rPr>
        <w:t xml:space="preserve">Závěrečná ustanovení </w:t>
      </w:r>
    </w:p>
    <w:p w14:paraId="1CAE6F18" w14:textId="77777777" w:rsidR="000C26A6" w:rsidRPr="000C26A6" w:rsidRDefault="000C26A6" w:rsidP="000C26A6">
      <w:r w:rsidRPr="000C26A6">
        <w:t xml:space="preserve">1) Práva a povinnosti smluvních stran, pokud nejsou upraveny touto smlouvou, se řídí dle zákona č. 89/2012 Sb., občanský zákoník a předpisy souvisejícími v platném znění. </w:t>
      </w:r>
    </w:p>
    <w:p w14:paraId="6AE8A9C2" w14:textId="77777777" w:rsidR="000C26A6" w:rsidRPr="000C26A6" w:rsidRDefault="000C26A6" w:rsidP="000C26A6">
      <w:r w:rsidRPr="000C26A6">
        <w:lastRenderedPageBreak/>
        <w:t xml:space="preserve">2) Veškeré změny a doplňky této smlouvy budou uskutečňovány formou písemných dodatků potvrzených oběma stranami. </w:t>
      </w:r>
    </w:p>
    <w:p w14:paraId="7AC56099" w14:textId="77777777" w:rsidR="000C26A6" w:rsidRPr="000C26A6" w:rsidRDefault="000C26A6" w:rsidP="000C26A6">
      <w:r w:rsidRPr="000C26A6">
        <w:t xml:space="preserve">3) Tato smlouva je vyhotovena ve 2 stejnopisech, z nichž 1 obdrží objednatel a 1 zhotovitel. 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 </w:t>
      </w:r>
    </w:p>
    <w:p w14:paraId="4F1D915C" w14:textId="6DB65DE9" w:rsidR="000C26A6" w:rsidRPr="000C26A6" w:rsidRDefault="000C26A6" w:rsidP="000C26A6">
      <w:r w:rsidRPr="000C26A6">
        <w:t>Dne:</w:t>
      </w:r>
      <w:r>
        <w:tab/>
      </w:r>
      <w:r w:rsidRPr="000C26A6">
        <w:t xml:space="preserve"> </w:t>
      </w:r>
      <w:r>
        <w:tab/>
      </w:r>
      <w:r>
        <w:tab/>
      </w:r>
      <w:r>
        <w:tab/>
      </w:r>
      <w:r w:rsidRPr="000C26A6">
        <w:t xml:space="preserve">Dne: </w:t>
      </w:r>
    </w:p>
    <w:p w14:paraId="3ADD24A9" w14:textId="336A7ED7" w:rsidR="000C26A6" w:rsidRDefault="000C26A6" w:rsidP="000C26A6">
      <w:r w:rsidRPr="000C26A6">
        <w:t xml:space="preserve">ISES, s.r.o. </w:t>
      </w:r>
      <w:r>
        <w:tab/>
      </w:r>
      <w:r>
        <w:tab/>
      </w:r>
      <w:r>
        <w:tab/>
      </w:r>
      <w:r w:rsidRPr="000C26A6">
        <w:t>Městská část Praha-Satalice</w:t>
      </w:r>
    </w:p>
    <w:p w14:paraId="72AFB21B" w14:textId="0676455A" w:rsidR="000C26A6" w:rsidRPr="000C26A6" w:rsidRDefault="000C26A6" w:rsidP="000C26A6">
      <w:r w:rsidRPr="000C26A6">
        <w:t xml:space="preserve">Ing. Vladimír Klatovský, CSc. </w:t>
      </w:r>
      <w:r>
        <w:tab/>
      </w:r>
      <w:r w:rsidRPr="000C26A6">
        <w:t xml:space="preserve">Mgr. Milada Voborská </w:t>
      </w:r>
    </w:p>
    <w:p w14:paraId="179583DB" w14:textId="3A2DB49A" w:rsidR="000C26A6" w:rsidRDefault="000C26A6" w:rsidP="000C26A6">
      <w:r w:rsidRPr="000C26A6">
        <w:rPr>
          <w:i/>
          <w:iCs/>
        </w:rPr>
        <w:t xml:space="preserve">jednatel </w:t>
      </w:r>
      <w:r>
        <w:rPr>
          <w:i/>
          <w:iCs/>
        </w:rPr>
        <w:tab/>
      </w:r>
      <w:r>
        <w:rPr>
          <w:i/>
          <w:iCs/>
        </w:rPr>
        <w:tab/>
      </w:r>
      <w:r>
        <w:rPr>
          <w:i/>
          <w:iCs/>
        </w:rPr>
        <w:tab/>
      </w:r>
      <w:r w:rsidRPr="000C26A6">
        <w:rPr>
          <w:i/>
          <w:iCs/>
        </w:rPr>
        <w:t>společnosti starostka</w:t>
      </w:r>
    </w:p>
    <w:sectPr w:rsidR="000C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AA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754F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7922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53E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AFAF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CA5A6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8306944">
    <w:abstractNumId w:val="2"/>
  </w:num>
  <w:num w:numId="2" w16cid:durableId="1278637710">
    <w:abstractNumId w:val="5"/>
  </w:num>
  <w:num w:numId="3" w16cid:durableId="149639512">
    <w:abstractNumId w:val="3"/>
  </w:num>
  <w:num w:numId="4" w16cid:durableId="1753547484">
    <w:abstractNumId w:val="0"/>
  </w:num>
  <w:num w:numId="5" w16cid:durableId="1325664875">
    <w:abstractNumId w:val="4"/>
  </w:num>
  <w:num w:numId="6" w16cid:durableId="16373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83"/>
    <w:rsid w:val="000C26A6"/>
    <w:rsid w:val="00A23B96"/>
    <w:rsid w:val="00B25B66"/>
    <w:rsid w:val="00BF6783"/>
    <w:rsid w:val="00FA18D2"/>
    <w:rsid w:val="00FD5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891A"/>
  <w15:chartTrackingRefBased/>
  <w15:docId w15:val="{A090BFF0-5F27-4FEC-BA47-AFFA763D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F6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F6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F678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F678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F678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F678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678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678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678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78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F678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F678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F678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F678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F678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678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678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6783"/>
    <w:rPr>
      <w:rFonts w:eastAsiaTheme="majorEastAsia" w:cstheme="majorBidi"/>
      <w:color w:val="272727" w:themeColor="text1" w:themeTint="D8"/>
    </w:rPr>
  </w:style>
  <w:style w:type="paragraph" w:styleId="Nzev">
    <w:name w:val="Title"/>
    <w:basedOn w:val="Normln"/>
    <w:next w:val="Normln"/>
    <w:link w:val="NzevChar"/>
    <w:uiPriority w:val="10"/>
    <w:qFormat/>
    <w:rsid w:val="00BF6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678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678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678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6783"/>
    <w:pPr>
      <w:spacing w:before="160"/>
      <w:jc w:val="center"/>
    </w:pPr>
    <w:rPr>
      <w:i/>
      <w:iCs/>
      <w:color w:val="404040" w:themeColor="text1" w:themeTint="BF"/>
    </w:rPr>
  </w:style>
  <w:style w:type="character" w:customStyle="1" w:styleId="CittChar">
    <w:name w:val="Citát Char"/>
    <w:basedOn w:val="Standardnpsmoodstavce"/>
    <w:link w:val="Citt"/>
    <w:uiPriority w:val="29"/>
    <w:rsid w:val="00BF6783"/>
    <w:rPr>
      <w:i/>
      <w:iCs/>
      <w:color w:val="404040" w:themeColor="text1" w:themeTint="BF"/>
    </w:rPr>
  </w:style>
  <w:style w:type="paragraph" w:styleId="Odstavecseseznamem">
    <w:name w:val="List Paragraph"/>
    <w:basedOn w:val="Normln"/>
    <w:uiPriority w:val="34"/>
    <w:qFormat/>
    <w:rsid w:val="00BF6783"/>
    <w:pPr>
      <w:ind w:left="720"/>
      <w:contextualSpacing/>
    </w:pPr>
  </w:style>
  <w:style w:type="character" w:styleId="Zdraznnintenzivn">
    <w:name w:val="Intense Emphasis"/>
    <w:basedOn w:val="Standardnpsmoodstavce"/>
    <w:uiPriority w:val="21"/>
    <w:qFormat/>
    <w:rsid w:val="00BF6783"/>
    <w:rPr>
      <w:i/>
      <w:iCs/>
      <w:color w:val="2F5496" w:themeColor="accent1" w:themeShade="BF"/>
    </w:rPr>
  </w:style>
  <w:style w:type="paragraph" w:styleId="Vrazncitt">
    <w:name w:val="Intense Quote"/>
    <w:basedOn w:val="Normln"/>
    <w:next w:val="Normln"/>
    <w:link w:val="VrazncittChar"/>
    <w:uiPriority w:val="30"/>
    <w:qFormat/>
    <w:rsid w:val="00BF6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F6783"/>
    <w:rPr>
      <w:i/>
      <w:iCs/>
      <w:color w:val="2F5496" w:themeColor="accent1" w:themeShade="BF"/>
    </w:rPr>
  </w:style>
  <w:style w:type="character" w:styleId="Odkazintenzivn">
    <w:name w:val="Intense Reference"/>
    <w:basedOn w:val="Standardnpsmoodstavce"/>
    <w:uiPriority w:val="32"/>
    <w:qFormat/>
    <w:rsid w:val="00BF6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745</Words>
  <Characters>4398</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Merabetova</dc:creator>
  <cp:keywords/>
  <dc:description/>
  <cp:lastModifiedBy>Merabetova</cp:lastModifiedBy>
  <cp:revision>3</cp:revision>
  <dcterms:created xsi:type="dcterms:W3CDTF">2025-07-09T08:57:00Z</dcterms:created>
  <dcterms:modified xsi:type="dcterms:W3CDTF">2025-07-09T09:01:00Z</dcterms:modified>
</cp:coreProperties>
</file>