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16" w:rsidRDefault="00FC35F8">
      <w:pPr>
        <w:pStyle w:val="Jin0"/>
        <w:spacing w:line="240" w:lineRule="auto"/>
        <w:ind w:firstLine="700"/>
        <w:rPr>
          <w:sz w:val="10"/>
          <w:szCs w:val="10"/>
        </w:rPr>
      </w:pPr>
      <w:proofErr w:type="spellStart"/>
      <w:r>
        <w:rPr>
          <w:rStyle w:val="Jin"/>
          <w:rFonts w:ascii="Courier New" w:eastAsia="Courier New" w:hAnsi="Courier New" w:cs="Courier New"/>
          <w:b/>
          <w:bCs/>
          <w:sz w:val="10"/>
          <w:szCs w:val="10"/>
        </w:rPr>
        <w:t>rs.</w:t>
      </w:r>
      <w:proofErr w:type="gramStart"/>
      <w:r>
        <w:rPr>
          <w:rStyle w:val="Jin"/>
          <w:rFonts w:ascii="Courier New" w:eastAsia="Courier New" w:hAnsi="Courier New" w:cs="Courier New"/>
          <w:b/>
          <w:bCs/>
          <w:sz w:val="10"/>
          <w:szCs w:val="10"/>
        </w:rPr>
        <w:t>r.o</w:t>
      </w:r>
      <w:proofErr w:type="spellEnd"/>
      <w:r>
        <w:rPr>
          <w:rStyle w:val="Jin"/>
          <w:rFonts w:ascii="Courier New" w:eastAsia="Courier New" w:hAnsi="Courier New" w:cs="Courier New"/>
          <w:b/>
          <w:bCs/>
          <w:sz w:val="10"/>
          <w:szCs w:val="10"/>
        </w:rPr>
        <w:t>.</w:t>
      </w:r>
      <w:proofErr w:type="gramEnd"/>
    </w:p>
    <w:p w:rsidR="005D5B16" w:rsidRDefault="00FC35F8">
      <w:pPr>
        <w:pStyle w:val="Jin0"/>
        <w:spacing w:line="180" w:lineRule="auto"/>
        <w:rPr>
          <w:sz w:val="16"/>
          <w:szCs w:val="16"/>
        </w:rPr>
      </w:pPr>
      <w:r>
        <w:rPr>
          <w:rStyle w:val="Jin"/>
          <w:rFonts w:ascii="Times New Roman" w:eastAsia="Times New Roman" w:hAnsi="Times New Roman" w:cs="Times New Roman"/>
          <w:sz w:val="16"/>
          <w:szCs w:val="16"/>
        </w:rPr>
        <w:t>.</w:t>
      </w:r>
      <w:proofErr w:type="gramStart"/>
      <w:r>
        <w:rPr>
          <w:rStyle w:val="Jin"/>
          <w:rFonts w:ascii="Times New Roman" w:eastAsia="Times New Roman" w:hAnsi="Times New Roman" w:cs="Times New Roman"/>
          <w:sz w:val="16"/>
          <w:szCs w:val="16"/>
        </w:rPr>
        <w:t>f-</w:t>
      </w:r>
      <w:proofErr w:type="spellStart"/>
      <w:r>
        <w:rPr>
          <w:rStyle w:val="Jin"/>
          <w:rFonts w:ascii="Times New Roman" w:eastAsia="Times New Roman" w:hAnsi="Times New Roman" w:cs="Times New Roman"/>
          <w:sz w:val="16"/>
          <w:szCs w:val="16"/>
        </w:rPr>
        <w:t>únovs</w:t>
      </w:r>
      <w:proofErr w:type="spellEnd"/>
      <w:r>
        <w:rPr>
          <w:rStyle w:val="Jin"/>
          <w:rFonts w:ascii="Times New Roman" w:eastAsia="Times New Roman" w:hAnsi="Times New Roman" w:cs="Times New Roman"/>
          <w:sz w:val="16"/>
          <w:szCs w:val="16"/>
        </w:rPr>
        <w:t xml:space="preserve"> ?959</w:t>
      </w:r>
      <w:proofErr w:type="gramEnd"/>
    </w:p>
    <w:p w:rsidR="005D5B16" w:rsidRDefault="00FC35F8">
      <w:pPr>
        <w:pStyle w:val="Jin0"/>
        <w:spacing w:line="240" w:lineRule="auto"/>
        <w:rPr>
          <w:sz w:val="16"/>
          <w:szCs w:val="16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16"/>
          <w:szCs w:val="16"/>
        </w:rPr>
        <w:t>01</w:t>
      </w:r>
      <w:r>
        <w:rPr>
          <w:rStyle w:val="Jin"/>
          <w:rFonts w:ascii="Times New Roman" w:eastAsia="Times New Roman" w:hAnsi="Times New Roman" w:cs="Times New Roman"/>
          <w:sz w:val="16"/>
          <w:szCs w:val="16"/>
        </w:rPr>
        <w:t xml:space="preserve"> Kroměříž</w:t>
      </w:r>
    </w:p>
    <w:p w:rsidR="005D5B16" w:rsidRDefault="00FC35F8">
      <w:pPr>
        <w:pStyle w:val="Jin0"/>
        <w:tabs>
          <w:tab w:val="left" w:pos="673"/>
        </w:tabs>
        <w:spacing w:after="240" w:line="240" w:lineRule="auto"/>
        <w:rPr>
          <w:sz w:val="15"/>
          <w:szCs w:val="15"/>
        </w:rPr>
      </w:pPr>
      <w:r>
        <w:rPr>
          <w:rStyle w:val="Jin"/>
          <w:rFonts w:ascii="Arial" w:eastAsia="Arial" w:hAnsi="Arial" w:cs="Arial"/>
          <w:sz w:val="15"/>
          <w:szCs w:val="15"/>
        </w:rPr>
        <w:t>37;</w:t>
      </w:r>
      <w:r>
        <w:rPr>
          <w:rStyle w:val="Jin"/>
          <w:rFonts w:ascii="Arial" w:eastAsia="Arial" w:hAnsi="Arial" w:cs="Arial"/>
          <w:sz w:val="15"/>
          <w:szCs w:val="15"/>
        </w:rPr>
        <w:tab/>
        <w:t>CZ26276437 J</w:t>
      </w:r>
    </w:p>
    <w:p w:rsidR="005D5B16" w:rsidRDefault="00FC35F8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KUPNÍ SMLOUVA</w:t>
      </w:r>
      <w:bookmarkEnd w:id="0"/>
    </w:p>
    <w:p w:rsidR="005D5B16" w:rsidRDefault="00FC35F8">
      <w:pPr>
        <w:pStyle w:val="Zkladntext1"/>
        <w:spacing w:after="240" w:line="266" w:lineRule="auto"/>
        <w:jc w:val="both"/>
      </w:pPr>
      <w:r>
        <w:rPr>
          <w:rStyle w:val="Zkladntext"/>
        </w:rPr>
        <w:t xml:space="preserve">uzavřená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zákona č. 89/2012 Sb., občanský zákoník, ve znění pozdějších předpisů, mezi níže uvedenými stranami:</w:t>
      </w:r>
    </w:p>
    <w:p w:rsidR="005D5B16" w:rsidRDefault="00FC35F8">
      <w:pPr>
        <w:pStyle w:val="Zkladntext1"/>
        <w:spacing w:line="240" w:lineRule="auto"/>
        <w:jc w:val="both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Ryšánek s.r.o.,</w:t>
      </w:r>
    </w:p>
    <w:p w:rsidR="005D5B16" w:rsidRDefault="00FC35F8">
      <w:pPr>
        <w:pStyle w:val="Zkladntext1"/>
        <w:jc w:val="both"/>
      </w:pPr>
      <w:r>
        <w:rPr>
          <w:rStyle w:val="Zkladntext"/>
        </w:rPr>
        <w:t>IC: 27746089</w:t>
      </w:r>
    </w:p>
    <w:p w:rsidR="005D5B16" w:rsidRDefault="00FC35F8">
      <w:pPr>
        <w:pStyle w:val="Zkladntext1"/>
        <w:jc w:val="both"/>
      </w:pPr>
      <w:r>
        <w:rPr>
          <w:rStyle w:val="Zkladntext"/>
        </w:rPr>
        <w:t xml:space="preserve">zapsána v obchodním rejstříku u </w:t>
      </w:r>
      <w:r>
        <w:rPr>
          <w:rStyle w:val="Zkladntext"/>
        </w:rPr>
        <w:t xml:space="preserve">Krajského soudu v Brně pod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značkou C 56231</w:t>
      </w:r>
    </w:p>
    <w:p w:rsidR="005D5B16" w:rsidRDefault="00FC35F8">
      <w:pPr>
        <w:pStyle w:val="Zkladntext1"/>
        <w:jc w:val="both"/>
      </w:pPr>
      <w:r>
        <w:rPr>
          <w:rStyle w:val="Zkladntext"/>
        </w:rPr>
        <w:t>sídlem Lutopecny 138, 767 01 Lutopecny</w:t>
      </w:r>
    </w:p>
    <w:p w:rsidR="005D5B16" w:rsidRDefault="00FC35F8">
      <w:pPr>
        <w:pStyle w:val="Zkladntext1"/>
        <w:jc w:val="both"/>
      </w:pPr>
      <w:r>
        <w:rPr>
          <w:rStyle w:val="Zkladntext"/>
        </w:rPr>
        <w:t>zastoupena: Lukáš Ryšánek, jednatel</w:t>
      </w:r>
    </w:p>
    <w:p w:rsidR="005D5B16" w:rsidRDefault="00FC35F8">
      <w:pPr>
        <w:pStyle w:val="Zkladntext1"/>
        <w:spacing w:after="240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i/>
          <w:iCs/>
        </w:rPr>
        <w:t>„prodávající'*)</w:t>
      </w:r>
    </w:p>
    <w:p w:rsidR="005D5B16" w:rsidRDefault="00FC35F8">
      <w:pPr>
        <w:pStyle w:val="Zkladntext1"/>
        <w:spacing w:after="240"/>
      </w:pPr>
      <w:r>
        <w:rPr>
          <w:rStyle w:val="Zkladntext"/>
        </w:rPr>
        <w:t>a</w:t>
      </w:r>
    </w:p>
    <w:p w:rsidR="005D5B16" w:rsidRDefault="00FC35F8">
      <w:pPr>
        <w:pStyle w:val="Zkladntext1"/>
        <w:spacing w:line="240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Kroměřížské technické služby, s.r.o.</w:t>
      </w:r>
    </w:p>
    <w:p w:rsidR="005D5B16" w:rsidRDefault="00FC35F8">
      <w:pPr>
        <w:pStyle w:val="Zkladntext1"/>
      </w:pPr>
      <w:r>
        <w:rPr>
          <w:rStyle w:val="Zkladntext"/>
        </w:rPr>
        <w:t>IČ: 26276437</w:t>
      </w:r>
    </w:p>
    <w:p w:rsidR="005D5B16" w:rsidRDefault="00FC35F8">
      <w:pPr>
        <w:pStyle w:val="Zkladntext1"/>
      </w:pPr>
      <w:r>
        <w:rPr>
          <w:rStyle w:val="Zkladntext"/>
        </w:rPr>
        <w:t>DIČ: CZ 26276437</w:t>
      </w:r>
    </w:p>
    <w:p w:rsidR="005D5B16" w:rsidRDefault="00FC35F8">
      <w:pPr>
        <w:pStyle w:val="Zkladntext1"/>
      </w:pPr>
      <w:r>
        <w:rPr>
          <w:rStyle w:val="Zkladntext"/>
        </w:rPr>
        <w:t>zapsána v obchodním rejstříku u Krajské</w:t>
      </w:r>
      <w:r>
        <w:rPr>
          <w:rStyle w:val="Zkladntext"/>
        </w:rPr>
        <w:t xml:space="preserve">ho soudu v Brně pod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41059</w:t>
      </w:r>
    </w:p>
    <w:p w:rsidR="005D5B16" w:rsidRDefault="00FC35F8">
      <w:pPr>
        <w:pStyle w:val="Zkladntext1"/>
      </w:pPr>
      <w:r>
        <w:rPr>
          <w:rStyle w:val="Zkladntext"/>
        </w:rPr>
        <w:t>sídlem Kaplanova 2959/6, 767 01 Kroměříž</w:t>
      </w:r>
    </w:p>
    <w:p w:rsidR="005D5B16" w:rsidRDefault="00FC35F8" w:rsidP="007F537A">
      <w:pPr>
        <w:pStyle w:val="Zkladntext1"/>
      </w:pPr>
      <w:r>
        <w:rPr>
          <w:rStyle w:val="Zkladntext"/>
        </w:rPr>
        <w:t xml:space="preserve">zastoupena: </w:t>
      </w:r>
    </w:p>
    <w:p w:rsidR="005D5B16" w:rsidRDefault="00FC35F8">
      <w:pPr>
        <w:pStyle w:val="Zkladntext1"/>
        <w:spacing w:after="240"/>
      </w:pPr>
      <w:r>
        <w:rPr>
          <w:rStyle w:val="Zkladntext"/>
        </w:rPr>
        <w:t>(</w:t>
      </w:r>
      <w:r>
        <w:rPr>
          <w:rStyle w:val="Zkladntext"/>
        </w:rPr>
        <w:t xml:space="preserve">dále jen </w:t>
      </w:r>
      <w:r>
        <w:rPr>
          <w:rStyle w:val="Zkladntext"/>
          <w:i/>
          <w:iCs/>
        </w:rPr>
        <w:t>„kupující“)</w:t>
      </w:r>
    </w:p>
    <w:p w:rsidR="005D5B16" w:rsidRDefault="005D5B16">
      <w:pPr>
        <w:pStyle w:val="Zkladntext1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after="240"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Předmět smlouvy</w:t>
      </w:r>
    </w:p>
    <w:p w:rsidR="005D5B16" w:rsidRDefault="00FC35F8">
      <w:pPr>
        <w:pStyle w:val="Zkladntext1"/>
        <w:numPr>
          <w:ilvl w:val="0"/>
          <w:numId w:val="2"/>
        </w:numPr>
        <w:tabs>
          <w:tab w:val="left" w:pos="694"/>
        </w:tabs>
        <w:spacing w:line="264" w:lineRule="auto"/>
        <w:ind w:left="700" w:hanging="340"/>
        <w:jc w:val="both"/>
      </w:pPr>
      <w:r>
        <w:rPr>
          <w:rStyle w:val="Zkladntext"/>
        </w:rPr>
        <w:t>Prodávající se zavazuje odevzdat Kupujícímu stavební materiál, jehož specifikace je uvedena v příloze č. 1 této smlouvy (dále jen "Zboží"), spolu s doklady, které se</w:t>
      </w:r>
      <w:r>
        <w:rPr>
          <w:rStyle w:val="Zkladntext"/>
        </w:rPr>
        <w:t xml:space="preserve"> ke Zboží vztahují a umožnit Kupujícímu nabýt vlastnické právo ke Zboží.</w:t>
      </w:r>
    </w:p>
    <w:p w:rsidR="005D5B16" w:rsidRDefault="00FC35F8">
      <w:pPr>
        <w:pStyle w:val="Zkladntext1"/>
        <w:numPr>
          <w:ilvl w:val="0"/>
          <w:numId w:val="2"/>
        </w:numPr>
        <w:tabs>
          <w:tab w:val="left" w:pos="709"/>
        </w:tabs>
        <w:spacing w:after="240" w:line="264" w:lineRule="auto"/>
        <w:ind w:left="700" w:hanging="340"/>
        <w:jc w:val="both"/>
      </w:pPr>
      <w:r>
        <w:rPr>
          <w:rStyle w:val="Zkladntext"/>
        </w:rPr>
        <w:t>Kupující se zavazuje převzít od Prodávajícího Zboží a zaplatit Prodávajícímu kupní cenu Zboží.</w:t>
      </w:r>
    </w:p>
    <w:p w:rsidR="005D5B16" w:rsidRDefault="005D5B16">
      <w:pPr>
        <w:pStyle w:val="Zkladntext1"/>
        <w:numPr>
          <w:ilvl w:val="0"/>
          <w:numId w:val="3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Místo, způsob a Čas dodání (předání) zboží</w:t>
      </w:r>
    </w:p>
    <w:p w:rsidR="005D5B16" w:rsidRDefault="00FC35F8">
      <w:pPr>
        <w:pStyle w:val="Zkladntext1"/>
        <w:numPr>
          <w:ilvl w:val="0"/>
          <w:numId w:val="4"/>
        </w:numPr>
        <w:tabs>
          <w:tab w:val="left" w:pos="699"/>
        </w:tabs>
        <w:ind w:left="700" w:hanging="340"/>
        <w:jc w:val="both"/>
      </w:pPr>
      <w:r>
        <w:rPr>
          <w:rStyle w:val="Zkladntext"/>
        </w:rPr>
        <w:t xml:space="preserve">Místem předání objednaného zboží je místo </w:t>
      </w:r>
      <w:r>
        <w:rPr>
          <w:rStyle w:val="Zkladntext"/>
        </w:rPr>
        <w:t>odevzdání zboží kupujícímu (zpravidla prodejna prodávajícího), případně dopravci k přepravě do ujednaného místa určení dle sjednaných podmínek. Kupující je povinen, v případě uskutečnění dodávky prostřednictvím prodávajícího či jím určené třetí osoby na ku</w:t>
      </w:r>
      <w:r>
        <w:rPr>
          <w:rStyle w:val="Zkladntext"/>
        </w:rPr>
        <w:t>pujícím určené místo dodávky, zajistit nezbytnou příjezdovou cestu s přihlédnutím k povaze dodávky zboží.</w:t>
      </w:r>
    </w:p>
    <w:p w:rsidR="005D5B16" w:rsidRDefault="00FC35F8">
      <w:pPr>
        <w:pStyle w:val="Zkladntext1"/>
        <w:numPr>
          <w:ilvl w:val="0"/>
          <w:numId w:val="4"/>
        </w:numPr>
        <w:tabs>
          <w:tab w:val="left" w:pos="709"/>
        </w:tabs>
        <w:ind w:left="700" w:hanging="340"/>
        <w:jc w:val="both"/>
      </w:pPr>
      <w:r>
        <w:rPr>
          <w:rStyle w:val="Zkladntext"/>
        </w:rPr>
        <w:t>Prodávající si vyhrazuje právo objednané zboží dodat kupujícímu prostřednictvím třetí osoby (např. přímo od výrobce).</w:t>
      </w:r>
    </w:p>
    <w:p w:rsidR="005D5B16" w:rsidRDefault="00FC35F8">
      <w:pPr>
        <w:pStyle w:val="Zkladntext1"/>
        <w:numPr>
          <w:ilvl w:val="0"/>
          <w:numId w:val="4"/>
        </w:numPr>
        <w:tabs>
          <w:tab w:val="left" w:pos="704"/>
        </w:tabs>
        <w:ind w:left="700" w:hanging="340"/>
        <w:jc w:val="both"/>
      </w:pPr>
      <w:r>
        <w:rPr>
          <w:rStyle w:val="Zkladntext"/>
        </w:rPr>
        <w:t>Prodávající předá objednané zbož</w:t>
      </w:r>
      <w:r>
        <w:rPr>
          <w:rStyle w:val="Zkladntext"/>
        </w:rPr>
        <w:t>í kupujícímu na základě písemných objednávek vystavených kupujícím.</w:t>
      </w:r>
    </w:p>
    <w:p w:rsidR="005D5B16" w:rsidRDefault="00FC35F8">
      <w:pPr>
        <w:pStyle w:val="Zkladntext1"/>
        <w:numPr>
          <w:ilvl w:val="0"/>
          <w:numId w:val="4"/>
        </w:numPr>
        <w:tabs>
          <w:tab w:val="left" w:pos="709"/>
        </w:tabs>
        <w:ind w:left="700" w:hanging="340"/>
        <w:jc w:val="both"/>
      </w:pPr>
      <w:r>
        <w:rPr>
          <w:rStyle w:val="Zkladntext"/>
        </w:rPr>
        <w:t>Prodávající je oprávněný předat zboží výhradně osobě, která je kupujícím uvedena v objednávce nebo kterou kupující určil písemně jiným způsobem. Kupující je povinen účast této osoby při předání zboží zajistit. Prodávající nebo jím určený přepravce je opráv</w:t>
      </w:r>
      <w:r>
        <w:rPr>
          <w:rStyle w:val="Zkladntext"/>
        </w:rPr>
        <w:t>něn před předáním zboží provést identifikaci této osoby a kupující se zavazuje toto umožnit. Pokud osoba kupujícím určená k převzetí zboží není na místě předání zboží k dispozici, je prodávající oprávněn zboží kupujícímu nepředat. Případné náklady plynoucí</w:t>
      </w:r>
      <w:r>
        <w:rPr>
          <w:rStyle w:val="Zkladntext"/>
        </w:rPr>
        <w:t xml:space="preserve"> z neuskutečněné dodávky (dopravní náklady apod.) hradí kupující.</w:t>
      </w:r>
    </w:p>
    <w:p w:rsidR="005D5B16" w:rsidRDefault="00FC35F8">
      <w:pPr>
        <w:pStyle w:val="Zkladntext1"/>
        <w:numPr>
          <w:ilvl w:val="0"/>
          <w:numId w:val="4"/>
        </w:numPr>
        <w:tabs>
          <w:tab w:val="left" w:pos="668"/>
        </w:tabs>
        <w:ind w:left="660" w:hanging="320"/>
        <w:jc w:val="both"/>
      </w:pPr>
      <w:r>
        <w:rPr>
          <w:rStyle w:val="Zkladntext"/>
        </w:rPr>
        <w:t>Kupující je povinen, v případě dopravy uskutečňované prodávajícím či jím určené osoby na místo učené kupujícím, zjistit způsob dopravy prodávajícího (zejména při větším objemu dodávky), a př</w:t>
      </w:r>
      <w:r>
        <w:rPr>
          <w:rStyle w:val="Zkladntext"/>
        </w:rPr>
        <w:t xml:space="preserve">edem dohodnout uskutečnění dopravy s přihlédnutím k místním podmínkám (zejména únosnost příjezdových cest, šířka cest apod.). V případě neuskutečnění dodávky zboží pro nezajištění vhodné </w:t>
      </w:r>
      <w:r>
        <w:rPr>
          <w:rStyle w:val="Zkladntext"/>
        </w:rPr>
        <w:lastRenderedPageBreak/>
        <w:t>příjezdové cesty, či uskutečnění dodávky zboží do jiného místa určené</w:t>
      </w:r>
      <w:r>
        <w:rPr>
          <w:rStyle w:val="Zkladntext"/>
        </w:rPr>
        <w:t>ho kupujícím z tohoto důvodu, je kupující povinen prodávajícímu uhradit veškeré náklady spojené s touto neuskutečněnou dodávkou či dodávkou do jiného místa dodání.</w:t>
      </w:r>
    </w:p>
    <w:p w:rsidR="005D5B16" w:rsidRDefault="00FC35F8">
      <w:pPr>
        <w:pStyle w:val="Zkladntext1"/>
        <w:numPr>
          <w:ilvl w:val="0"/>
          <w:numId w:val="4"/>
        </w:numPr>
        <w:tabs>
          <w:tab w:val="left" w:pos="668"/>
        </w:tabs>
        <w:spacing w:after="240"/>
        <w:ind w:left="660" w:hanging="320"/>
        <w:jc w:val="both"/>
      </w:pPr>
      <w:r>
        <w:rPr>
          <w:rStyle w:val="Zkladntext"/>
        </w:rPr>
        <w:t>Pokud je zboží dodáno kupujícímu prostřednictvím třetí osoby, kupující je povinen potvrdit t</w:t>
      </w:r>
      <w:r>
        <w:rPr>
          <w:rStyle w:val="Zkladntext"/>
        </w:rPr>
        <w:t>éto osobě převzetí zboží na dodacím listu, jehož jedno vyhotovení převezme při převzetí zboží. Prodávající v takovém případě není povinen předložit dodací list při fakturaci.</w:t>
      </w:r>
    </w:p>
    <w:p w:rsidR="005D5B16" w:rsidRDefault="005D5B16">
      <w:pPr>
        <w:pStyle w:val="Zkladntext1"/>
        <w:numPr>
          <w:ilvl w:val="0"/>
          <w:numId w:val="3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Cena zboží</w:t>
      </w:r>
    </w:p>
    <w:p w:rsidR="005D5B16" w:rsidRDefault="00FC35F8">
      <w:pPr>
        <w:pStyle w:val="Zkladntext1"/>
        <w:numPr>
          <w:ilvl w:val="0"/>
          <w:numId w:val="5"/>
        </w:numPr>
        <w:tabs>
          <w:tab w:val="left" w:pos="668"/>
        </w:tabs>
        <w:spacing w:after="240"/>
        <w:ind w:left="660" w:hanging="320"/>
      </w:pPr>
      <w:r>
        <w:rPr>
          <w:rStyle w:val="Zkladntext"/>
        </w:rPr>
        <w:t>Prodávající bude prodávat kupujícímu zboží v jednotkových cenách uved</w:t>
      </w:r>
      <w:r>
        <w:rPr>
          <w:rStyle w:val="Zkladntext"/>
        </w:rPr>
        <w:t>ených v příloze č. 1, která je nedílnou součástí této smlouvy. Kupní cenou se rozumí cena zboží, obalů.</w:t>
      </w:r>
    </w:p>
    <w:p w:rsidR="005D5B16" w:rsidRDefault="005D5B16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Platebně fakturační podmínky</w:t>
      </w:r>
    </w:p>
    <w:p w:rsidR="005D5B16" w:rsidRDefault="00FC35F8">
      <w:pPr>
        <w:pStyle w:val="Zkladntext1"/>
        <w:numPr>
          <w:ilvl w:val="0"/>
          <w:numId w:val="7"/>
        </w:numPr>
        <w:tabs>
          <w:tab w:val="left" w:pos="668"/>
        </w:tabs>
        <w:spacing w:line="259" w:lineRule="auto"/>
        <w:ind w:left="660" w:hanging="320"/>
        <w:jc w:val="both"/>
      </w:pPr>
      <w:r>
        <w:rPr>
          <w:rStyle w:val="Zkladntext"/>
        </w:rPr>
        <w:t>Kupující je povinen zaplatit prodávajícímu kupní cenu za zboží, a to na základě daňového dokladu - faktury či v hotovosti.</w:t>
      </w:r>
      <w:r>
        <w:rPr>
          <w:rStyle w:val="Zkladntext"/>
        </w:rPr>
        <w:t xml:space="preserve"> Faktura za plnění musí obsahovat předepsané náležitosti daňového dokladu. Splatnost faktury je 21 dní ode dne vystavení daňového dokladu - faktury, pokud nebude mezi účastníky dohodnuto jinak.</w:t>
      </w:r>
    </w:p>
    <w:p w:rsidR="005D5B16" w:rsidRDefault="00FC35F8">
      <w:pPr>
        <w:pStyle w:val="Zkladntext1"/>
        <w:numPr>
          <w:ilvl w:val="0"/>
          <w:numId w:val="7"/>
        </w:numPr>
        <w:tabs>
          <w:tab w:val="left" w:pos="668"/>
        </w:tabs>
        <w:spacing w:line="259" w:lineRule="auto"/>
        <w:ind w:left="660" w:hanging="320"/>
        <w:jc w:val="both"/>
      </w:pPr>
      <w:r>
        <w:rPr>
          <w:rStyle w:val="Zkladntext"/>
        </w:rPr>
        <w:t>Zaplacením se rozumí připsáním částky na účet prodávajícího či</w:t>
      </w:r>
      <w:r>
        <w:rPr>
          <w:rStyle w:val="Zkladntext"/>
        </w:rPr>
        <w:t xml:space="preserve"> složením hotovosti v pokladně provozovny prodávajícího.</w:t>
      </w:r>
    </w:p>
    <w:p w:rsidR="005D5B16" w:rsidRDefault="00FC35F8">
      <w:pPr>
        <w:pStyle w:val="Zkladntext1"/>
        <w:numPr>
          <w:ilvl w:val="0"/>
          <w:numId w:val="7"/>
        </w:numPr>
        <w:tabs>
          <w:tab w:val="left" w:pos="668"/>
        </w:tabs>
        <w:spacing w:line="259" w:lineRule="auto"/>
        <w:ind w:left="660" w:hanging="320"/>
        <w:jc w:val="both"/>
      </w:pPr>
      <w:r>
        <w:rPr>
          <w:rStyle w:val="Zkladntext"/>
        </w:rPr>
        <w:t>V případě, že kupující bude v prodlení s úhradou jakéhokoli svého peněžitého závazku z této smlouvy, je povinen zaplatit prodávajícímu úrok z prodlení ve výši 0,05 % denně z dlužné částky.</w:t>
      </w:r>
    </w:p>
    <w:p w:rsidR="005D5B16" w:rsidRDefault="00FC35F8">
      <w:pPr>
        <w:pStyle w:val="Zkladntext1"/>
        <w:numPr>
          <w:ilvl w:val="0"/>
          <w:numId w:val="7"/>
        </w:numPr>
        <w:tabs>
          <w:tab w:val="left" w:pos="668"/>
        </w:tabs>
        <w:spacing w:after="240" w:line="259" w:lineRule="auto"/>
        <w:ind w:left="660" w:hanging="320"/>
        <w:jc w:val="both"/>
      </w:pPr>
      <w:r>
        <w:rPr>
          <w:rStyle w:val="Zkladntext"/>
        </w:rPr>
        <w:t>V případě,</w:t>
      </w:r>
      <w:r>
        <w:rPr>
          <w:rStyle w:val="Zkladntext"/>
        </w:rPr>
        <w:t xml:space="preserve"> že je kupující v prodlení s úhradou některého svého závazku, je prodávající oprávněn zastavit dodávky zboží až do úplného vyrovnání tohoto závazku ze strany kupujícího. Kupující podpisem této rámcové kupní smlouvy uděluje prodávajícímu souhlas se zasílání</w:t>
      </w:r>
      <w:r>
        <w:rPr>
          <w:rStyle w:val="Zkladntext"/>
        </w:rPr>
        <w:t>m daňových dokladů v elektronické podobě a to na elektronickou adresu v záhlaví této smlouvy uvedenou.</w:t>
      </w:r>
    </w:p>
    <w:p w:rsidR="005D5B16" w:rsidRDefault="005D5B16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Výhrada vlastnictví</w:t>
      </w:r>
    </w:p>
    <w:p w:rsidR="005D5B16" w:rsidRDefault="00FC35F8">
      <w:pPr>
        <w:pStyle w:val="Zkladntext1"/>
        <w:numPr>
          <w:ilvl w:val="0"/>
          <w:numId w:val="8"/>
        </w:numPr>
        <w:tabs>
          <w:tab w:val="left" w:pos="668"/>
        </w:tabs>
        <w:spacing w:after="240" w:line="259" w:lineRule="auto"/>
        <w:ind w:left="660" w:hanging="320"/>
        <w:jc w:val="both"/>
      </w:pPr>
      <w:r>
        <w:rPr>
          <w:rStyle w:val="Zkladntext"/>
        </w:rPr>
        <w:t>Vlastnické právo ke zboží přechází na kupujícího zaplacením kupní ceny, přičemž úplné zaplacení kupní ceny a DPH je vždy podmínkou v</w:t>
      </w:r>
      <w:r>
        <w:rPr>
          <w:rStyle w:val="Zkladntext"/>
        </w:rPr>
        <w:t>lastnictví. V případě nezbytnosti uplatnění výhrady vlastnictví je kupující povinen umožnit prodávajícímu přístup ke zboží a zpětný odvoz zboží, jehož vlastnictví na kupujícího nepřešlo, pokud jej kupující má ještě k dispozici.</w:t>
      </w:r>
    </w:p>
    <w:p w:rsidR="005D5B16" w:rsidRDefault="005D5B16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Práva z vadného plnění, rek</w:t>
      </w:r>
      <w:r>
        <w:rPr>
          <w:rStyle w:val="Zkladntext"/>
          <w:b/>
          <w:bCs/>
          <w:sz w:val="24"/>
          <w:szCs w:val="24"/>
        </w:rPr>
        <w:t>lamace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668"/>
        </w:tabs>
        <w:spacing w:line="257" w:lineRule="auto"/>
        <w:ind w:left="660" w:hanging="320"/>
        <w:jc w:val="both"/>
        <w:sectPr w:rsidR="005D5B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648" w:right="1377" w:bottom="1346" w:left="134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Veškeré zboží, které prodávající </w:t>
      </w:r>
      <w:r>
        <w:rPr>
          <w:rStyle w:val="Zkladntext"/>
        </w:rPr>
        <w:t>kupujícímu dodá, bude splňovat veškeré náležitosti vyžadované českým právním řádem.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lastRenderedPageBreak/>
        <w:t xml:space="preserve">Kupující je povinen při převzetí zboží si toto prohlédnout, překontrolovat a potvrdit příslušný dodací list. Zjevné vady, které zjistil při předání zboží, je povinen uvést </w:t>
      </w:r>
      <w:r>
        <w:rPr>
          <w:rStyle w:val="Zkladntext"/>
        </w:rPr>
        <w:t>přímo v dodacím listě či v přepravním dokladu.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 xml:space="preserve">Zjevné vady je kupující povinen písemně reklamovat u prodávajícího, a to nejpozději do 2 pracovních dní od převzetí zboží. Na pozdější reklamace zjevných vad, které </w:t>
      </w:r>
      <w:proofErr w:type="gramStart"/>
      <w:r>
        <w:rPr>
          <w:rStyle w:val="Zkladntext"/>
        </w:rPr>
        <w:t>zjistil</w:t>
      </w:r>
      <w:proofErr w:type="gramEnd"/>
      <w:r>
        <w:rPr>
          <w:rStyle w:val="Zkladntext"/>
        </w:rPr>
        <w:t xml:space="preserve"> kupující při převzetí zboží </w:t>
      </w:r>
      <w:proofErr w:type="gramStart"/>
      <w:r>
        <w:rPr>
          <w:rStyle w:val="Zkladntext"/>
        </w:rPr>
        <w:t>nebude</w:t>
      </w:r>
      <w:proofErr w:type="gramEnd"/>
      <w:r>
        <w:rPr>
          <w:rStyle w:val="Zkladntext"/>
        </w:rPr>
        <w:t xml:space="preserve"> b</w:t>
      </w:r>
      <w:r>
        <w:rPr>
          <w:rStyle w:val="Zkladntext"/>
        </w:rPr>
        <w:t>rán zřetel. Zjevné vady nebudou uznány, pokud došlo ke zpracování nebo zabudování reklamovaného zboží.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Vadou není dodávka menšího množství zboží, pokud toto množství odpovídá údajům v dodacím listě, v tomto případě se jedná o dílčí dodávku, případně částeč</w:t>
      </w:r>
      <w:r>
        <w:rPr>
          <w:rStyle w:val="Zkladntext"/>
        </w:rPr>
        <w:t>né nesplnění smlouvy.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Reklamace musí obsahovat číslo dodacího listu, případně číslo daňového dokladu či objednávky, popis vady včetně data, kdy byla zjištěna, dále, jak se vada projevuje. V případě, že má v držení kupující doklady, které prokazují existenc</w:t>
      </w:r>
      <w:r>
        <w:rPr>
          <w:rStyle w:val="Zkladntext"/>
        </w:rPr>
        <w:t>i vady (např. znalecký posudek, dodací list apod.) je povinen tyto doklady předložit prodávajícímu. Dále, reklamace musí obsahovat požadavek na způsob jejího vyřízení.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 xml:space="preserve">V případě, že prodávající uzná oprávněnost reklamace kupujícího, je prodávající povinen </w:t>
      </w:r>
      <w:r>
        <w:rPr>
          <w:rStyle w:val="Zkladntext"/>
        </w:rPr>
        <w:t>bez zbytečného odkladu vadu odstranit náhradní dodávkou a výměnou vadného za bezvadné zboží, je-li to možné a účelné.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V případě, že nebude možno reklamaci vadného zboží řešit výměnou či dodáním chybějícího množství zboží, je kupující oprávněn požadovat sle</w:t>
      </w:r>
      <w:r>
        <w:rPr>
          <w:rStyle w:val="Zkladntext"/>
        </w:rPr>
        <w:t>vu z ceny zboží, pokud reklamované vady nebrání obvyklému použití zboží.</w:t>
      </w:r>
    </w:p>
    <w:p w:rsidR="005D5B16" w:rsidRDefault="00FC35F8">
      <w:pPr>
        <w:pStyle w:val="Zkladntext1"/>
        <w:numPr>
          <w:ilvl w:val="0"/>
          <w:numId w:val="9"/>
        </w:numPr>
        <w:tabs>
          <w:tab w:val="left" w:pos="321"/>
        </w:tabs>
        <w:spacing w:after="240" w:line="264" w:lineRule="auto"/>
      </w:pPr>
      <w:r>
        <w:rPr>
          <w:rStyle w:val="Zkladntext"/>
        </w:rPr>
        <w:t>Lhůty odpovědnosti za vadné plnění jsou stanoveny v souladu s občanským zákoníkem.</w:t>
      </w:r>
    </w:p>
    <w:p w:rsidR="005D5B16" w:rsidRDefault="005D5B16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D5B16" w:rsidRDefault="00FC35F8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Závěrečná ustanovení</w:t>
      </w:r>
    </w:p>
    <w:p w:rsidR="005D5B16" w:rsidRDefault="00FC35F8">
      <w:pPr>
        <w:pStyle w:val="Zkladntext1"/>
        <w:numPr>
          <w:ilvl w:val="0"/>
          <w:numId w:val="10"/>
        </w:numPr>
        <w:tabs>
          <w:tab w:val="left" w:pos="321"/>
        </w:tabs>
        <w:spacing w:line="240" w:lineRule="auto"/>
        <w:ind w:left="460" w:hanging="460"/>
        <w:jc w:val="both"/>
        <w:rPr>
          <w:sz w:val="24"/>
          <w:szCs w:val="24"/>
        </w:rPr>
      </w:pPr>
      <w:r>
        <w:rPr>
          <w:rStyle w:val="Zkladntext"/>
        </w:rPr>
        <w:t xml:space="preserve">Platnosti nabývá tato smlouva dnem podpisu obou stran. </w:t>
      </w:r>
      <w:r>
        <w:rPr>
          <w:rStyle w:val="Zkladntext"/>
          <w:b/>
          <w:bCs/>
          <w:sz w:val="24"/>
          <w:szCs w:val="24"/>
        </w:rPr>
        <w:t xml:space="preserve">Účinností nabývá dnem </w:t>
      </w:r>
      <w:r>
        <w:rPr>
          <w:rStyle w:val="Zkladntext"/>
          <w:b/>
          <w:bCs/>
          <w:sz w:val="24"/>
          <w:szCs w:val="24"/>
        </w:rPr>
        <w:t>jejího uveřejnění v registru smluv dle zákona č. 340/2015 Sb., o zvláštních podmínkách účinností některých smluv, uveřejňování těchto smluv a o registru smluv (zákon o registru smluv), ve znění pozdějších předpisů.</w:t>
      </w:r>
    </w:p>
    <w:p w:rsidR="005D5B16" w:rsidRDefault="00FC35F8">
      <w:pPr>
        <w:pStyle w:val="Zkladntext1"/>
        <w:numPr>
          <w:ilvl w:val="0"/>
          <w:numId w:val="10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Prodávající je oprávněn odstoupit od této</w:t>
      </w:r>
      <w:r>
        <w:rPr>
          <w:rStyle w:val="Zkladntext"/>
        </w:rPr>
        <w:t xml:space="preserve"> smlouvy v případě, že bude se subjektem kupujícího zahájeno insolvenční řízení dle zákona č. 182/2006 Sb.</w:t>
      </w:r>
    </w:p>
    <w:p w:rsidR="005D5B16" w:rsidRDefault="00FC35F8">
      <w:pPr>
        <w:pStyle w:val="Zkladntext1"/>
        <w:numPr>
          <w:ilvl w:val="0"/>
          <w:numId w:val="10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Kterýkoliv z účastníků může od této smlouvy okamžitě odstoupit v případě, že druhá smluvní strana:</w:t>
      </w:r>
    </w:p>
    <w:p w:rsidR="005D5B16" w:rsidRDefault="00FC35F8">
      <w:pPr>
        <w:pStyle w:val="Zkladntext1"/>
        <w:spacing w:line="257" w:lineRule="auto"/>
        <w:ind w:left="320"/>
        <w:jc w:val="both"/>
      </w:pPr>
      <w:r>
        <w:rPr>
          <w:rStyle w:val="Zkladntext"/>
          <w:b/>
          <w:bCs/>
          <w:sz w:val="24"/>
          <w:szCs w:val="24"/>
        </w:rPr>
        <w:t xml:space="preserve">a/ </w:t>
      </w:r>
      <w:r>
        <w:rPr>
          <w:rStyle w:val="Zkladntext"/>
        </w:rPr>
        <w:t>je v prodlení s placením svého finančního závaz</w:t>
      </w:r>
      <w:r>
        <w:rPr>
          <w:rStyle w:val="Zkladntext"/>
        </w:rPr>
        <w:t>ku vůči ní déle než 7 dnů, a to i přes předchozí upozornění s poskytnutím přiměřené dodatečné lhůty ke splnění takového finančního závazku</w:t>
      </w:r>
    </w:p>
    <w:p w:rsidR="005D5B16" w:rsidRDefault="00FC35F8">
      <w:pPr>
        <w:pStyle w:val="Zkladntext1"/>
        <w:spacing w:line="240" w:lineRule="auto"/>
        <w:ind w:firstLine="320"/>
        <w:jc w:val="both"/>
      </w:pPr>
      <w:r>
        <w:rPr>
          <w:rStyle w:val="Zkladntext"/>
          <w:b/>
          <w:bCs/>
          <w:sz w:val="24"/>
          <w:szCs w:val="24"/>
        </w:rPr>
        <w:t xml:space="preserve">b/ </w:t>
      </w:r>
      <w:r>
        <w:rPr>
          <w:rStyle w:val="Zkladntext"/>
        </w:rPr>
        <w:t xml:space="preserve">dopustila se vůči ní </w:t>
      </w:r>
      <w:proofErr w:type="spellStart"/>
      <w:r>
        <w:rPr>
          <w:rStyle w:val="Zkladntext"/>
        </w:rPr>
        <w:t>nekalosoutěžního</w:t>
      </w:r>
      <w:proofErr w:type="spellEnd"/>
      <w:r>
        <w:rPr>
          <w:rStyle w:val="Zkladntext"/>
        </w:rPr>
        <w:t xml:space="preserve"> nebo jiného zavrženíhodného jednání</w:t>
      </w:r>
    </w:p>
    <w:p w:rsidR="005D5B16" w:rsidRDefault="00FC35F8">
      <w:pPr>
        <w:pStyle w:val="Zkladntext1"/>
        <w:spacing w:line="252" w:lineRule="auto"/>
        <w:ind w:left="320"/>
        <w:jc w:val="both"/>
      </w:pPr>
      <w:r>
        <w:rPr>
          <w:rStyle w:val="Zkladntext"/>
          <w:b/>
          <w:bCs/>
          <w:sz w:val="24"/>
          <w:szCs w:val="24"/>
        </w:rPr>
        <w:t xml:space="preserve">c/ </w:t>
      </w:r>
      <w:r>
        <w:rPr>
          <w:rStyle w:val="Zkladntext"/>
        </w:rPr>
        <w:t>i přes opakované upozornění nesplní n</w:t>
      </w:r>
      <w:r>
        <w:rPr>
          <w:rStyle w:val="Zkladntext"/>
        </w:rPr>
        <w:t>ěkterou z podstatných smluvních povinností dle této smlouvy</w:t>
      </w:r>
    </w:p>
    <w:p w:rsidR="005D5B16" w:rsidRDefault="00FC35F8">
      <w:pPr>
        <w:pStyle w:val="Zkladntext1"/>
        <w:spacing w:line="264" w:lineRule="auto"/>
        <w:ind w:left="320"/>
        <w:jc w:val="both"/>
      </w:pPr>
      <w:r>
        <w:rPr>
          <w:rStyle w:val="Zkladntext"/>
        </w:rPr>
        <w:t>Tato smlouva v takovém případě zaniká okamžikem doručení písemného oznámení o odstoupení od smlouvy druhé smluvní straně.</w:t>
      </w:r>
    </w:p>
    <w:p w:rsidR="005D5B16" w:rsidRDefault="00FC35F8">
      <w:pPr>
        <w:pStyle w:val="Zkladntext1"/>
        <w:numPr>
          <w:ilvl w:val="0"/>
          <w:numId w:val="10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Není-li touto smlouvou stanoveno jinak, řídí se vztahy mezi účastníky přís</w:t>
      </w:r>
      <w:r>
        <w:rPr>
          <w:rStyle w:val="Zkladntext"/>
        </w:rPr>
        <w:t>lušnými ustanoveními občanského zákoníku.</w:t>
      </w:r>
    </w:p>
    <w:p w:rsidR="005D5B16" w:rsidRDefault="00FC35F8">
      <w:pPr>
        <w:pStyle w:val="Zkladntext1"/>
        <w:numPr>
          <w:ilvl w:val="0"/>
          <w:numId w:val="10"/>
        </w:numPr>
        <w:tabs>
          <w:tab w:val="left" w:pos="321"/>
        </w:tabs>
        <w:spacing w:line="264" w:lineRule="auto"/>
        <w:ind w:left="460" w:hanging="460"/>
        <w:jc w:val="both"/>
      </w:pPr>
      <w:r>
        <w:rPr>
          <w:rStyle w:val="Zkladntext"/>
        </w:rPr>
        <w:t>Kupující dává prodávajícímu podpisem této smlouvy souhlas k zasílání elektronické korespondence ve smyslu zákona č. 480/2004 Sb. Tento souhlas lze kdykoliv písemnou formou odvolat.</w:t>
      </w:r>
    </w:p>
    <w:p w:rsidR="005D5B16" w:rsidRDefault="00FC35F8">
      <w:pPr>
        <w:pStyle w:val="Zkladntext1"/>
        <w:numPr>
          <w:ilvl w:val="0"/>
          <w:numId w:val="10"/>
        </w:numPr>
        <w:tabs>
          <w:tab w:val="left" w:pos="321"/>
        </w:tabs>
        <w:spacing w:after="920" w:line="264" w:lineRule="auto"/>
        <w:ind w:left="460" w:hanging="460"/>
        <w:jc w:val="both"/>
      </w:pPr>
      <w:r>
        <w:rPr>
          <w:rStyle w:val="Zkladntext"/>
        </w:rPr>
        <w:t>Tato smlouva je vyhotovena ve 2 s</w:t>
      </w:r>
      <w:r>
        <w:rPr>
          <w:rStyle w:val="Zkladntext"/>
        </w:rPr>
        <w:t>tejnopisech, přičemž každý z účastníků obdrží po jednom vyhotovení. Tuto smlouvu lze měnit, či doplňovat pouze písemnými dodatky, uzavřenými mezi účastníky.</w:t>
      </w:r>
    </w:p>
    <w:p w:rsidR="005D5B16" w:rsidRDefault="005D5B16">
      <w:pPr>
        <w:jc w:val="center"/>
        <w:rPr>
          <w:sz w:val="2"/>
          <w:szCs w:val="2"/>
        </w:rPr>
        <w:sectPr w:rsidR="005D5B16">
          <w:pgSz w:w="11900" w:h="16840"/>
          <w:pgMar w:top="1477" w:right="1312" w:bottom="0" w:left="1410" w:header="0" w:footer="3" w:gutter="0"/>
          <w:cols w:space="720"/>
          <w:noEndnote/>
          <w:docGrid w:linePitch="360"/>
        </w:sectPr>
      </w:pPr>
    </w:p>
    <w:p w:rsidR="005D5B16" w:rsidRDefault="00FC35F8" w:rsidP="007F537A">
      <w:pPr>
        <w:pStyle w:val="Zkladntext1"/>
        <w:spacing w:line="257" w:lineRule="auto"/>
        <w:ind w:left="560" w:hanging="560"/>
        <w:jc w:val="both"/>
        <w:sectPr w:rsidR="005D5B16">
          <w:pgSz w:w="11900" w:h="16840"/>
          <w:pgMar w:top="1629" w:right="1418" w:bottom="9607" w:left="1371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  <w:sz w:val="24"/>
          <w:szCs w:val="24"/>
        </w:rPr>
        <w:lastRenderedPageBreak/>
        <w:t xml:space="preserve">9.1. </w:t>
      </w:r>
      <w:r>
        <w:rPr>
          <w:rStyle w:val="Zkladntext"/>
        </w:rPr>
        <w:t>Tato smlouva byla uzavřena na základě pravé, svobodné a vážné vůle úč</w:t>
      </w:r>
      <w:r w:rsidR="007F537A">
        <w:rPr>
          <w:rStyle w:val="Zkladntext"/>
        </w:rPr>
        <w:t xml:space="preserve">astníků, kteří ji neuzavírali </w:t>
      </w:r>
    </w:p>
    <w:p w:rsidR="005D5B16" w:rsidRDefault="00FC35F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12395" distL="0" distR="0" simplePos="0" relativeHeight="125829389" behindDoc="0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0</wp:posOffset>
                </wp:positionV>
                <wp:extent cx="1593850" cy="82931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spacing w:after="40" w:line="240" w:lineRule="auto"/>
                              <w:ind w:firstLine="1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šánek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s.r.o.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after="100" w:line="271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utopecny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138 76701 Lutopecny Česká republika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after="8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Vystavená nabídka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6.649999999999999pt;margin-top:0;width:125.5pt;height:65.299999999999997pt;z-index:-125829364;mso-wrap-distance-left:0;mso-wrap-distance-right:0;mso-wrap-distance-bottom:8.84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6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/šánek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71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  <w:t>.utopecny 138 76701 Lutopecny Česká republika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t>Vystavená nabídka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" distB="502920" distL="0" distR="0" simplePos="0" relativeHeight="125829391" behindDoc="0" locked="0" layoutInCell="1" allowOverlap="1">
                <wp:simplePos x="0" y="0"/>
                <wp:positionH relativeFrom="page">
                  <wp:posOffset>2790190</wp:posOffset>
                </wp:positionH>
                <wp:positionV relativeFrom="paragraph">
                  <wp:posOffset>155575</wp:posOffset>
                </wp:positionV>
                <wp:extent cx="777240" cy="28321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spacing w:line="266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IČ: 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27746089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br/>
                              <w:t>DIČ: CZ27746089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19.70000000000002pt;margin-top:12.25pt;width:61.200000000000003pt;height:22.300000000000001pt;z-index:-125829362;mso-wrap-distance-left:0;mso-wrap-distance-top:12.25pt;mso-wrap-distance-right:0;mso-wrap-distance-bottom:39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  <w:t>IČ: 27746089</w:t>
                        <w:br/>
                        <w:t>DIČ: CZ27746089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487680" distL="0" distR="0" simplePos="0" relativeHeight="125829393" behindDoc="0" locked="0" layoutInCell="1" allowOverlap="1">
                <wp:simplePos x="0" y="0"/>
                <wp:positionH relativeFrom="page">
                  <wp:posOffset>3719830</wp:posOffset>
                </wp:positionH>
                <wp:positionV relativeFrom="paragraph">
                  <wp:posOffset>167640</wp:posOffset>
                </wp:positionV>
                <wp:extent cx="920750" cy="28638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mobil: 724574493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www: 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8tavbaz.cz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mall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US" w:eastAsia="en-US" w:bidi="en-US"/>
                              </w:rPr>
                              <w:t>stavbazO8tavbaz.cz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92.90000000000003pt;margin-top:13.200000000000001pt;width:72.5pt;height:22.550000000000001pt;z-index:-125829360;mso-wrap-distance-left:0;mso-wrap-distance-top:13.200000000000001pt;mso-wrap-distance-right:0;mso-wrap-distance-bottom:38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mobil: 724574493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www: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8tavbaz.cz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e-mall: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u w:val="single"/>
                          <w:lang w:val="en-US" w:eastAsia="en-US" w:bidi="en-US"/>
                        </w:rPr>
                        <w:t>stavbazO8tavbaz.cz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465" distB="563880" distL="0" distR="0" simplePos="0" relativeHeight="125829395" behindDoc="0" locked="0" layoutInCell="1" allowOverlap="1">
                <wp:simplePos x="0" y="0"/>
                <wp:positionH relativeFrom="page">
                  <wp:posOffset>4817110</wp:posOffset>
                </wp:positionH>
                <wp:positionV relativeFrom="paragraph">
                  <wp:posOffset>164465</wp:posOffset>
                </wp:positionV>
                <wp:extent cx="536575" cy="21336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spacing w:line="302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tel.: 573332398 fax: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379.30000000000001pt;margin-top:12.950000000000001pt;width:42.25pt;height:16.800000000000001pt;z-index:-125829358;mso-wrap-distance-left:0;mso-wrap-distance-top:12.950000000000001pt;mso-wrap-distance-right:0;mso-wrap-distance-bottom:44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tel.: 573332398 fax: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4025" distB="377825" distL="0" distR="0" simplePos="0" relativeHeight="125829397" behindDoc="0" locked="0" layoutInCell="1" allowOverlap="1">
                <wp:simplePos x="0" y="0"/>
                <wp:positionH relativeFrom="page">
                  <wp:posOffset>3021965</wp:posOffset>
                </wp:positionH>
                <wp:positionV relativeFrom="paragraph">
                  <wp:posOffset>454025</wp:posOffset>
                </wp:positionV>
                <wp:extent cx="1917065" cy="10985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Společnost je registrována v OR KS Brno. </w:t>
                            </w:r>
                            <w:proofErr w:type="gram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spis</w:t>
                            </w:r>
                            <w:proofErr w:type="gram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. zn. C 56231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37.95000000000002pt;margin-top:35.75pt;width:150.95000000000002pt;height:8.6500000000000004pt;z-index:-125829356;mso-wrap-distance-left:0;mso-wrap-distance-top:35.75pt;mso-wrap-distance-right:0;mso-wrap-distance-bottom:29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Společnost je registrována v OR KS Brno. spis. zn. C 56231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" distB="76200" distL="0" distR="0" simplePos="0" relativeHeight="125829399" behindDoc="0" locked="0" layoutInCell="1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140335</wp:posOffset>
                </wp:positionV>
                <wp:extent cx="1212850" cy="72517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Nadpis10"/>
                              <w:keepNext/>
                              <w:keepLines/>
                            </w:pPr>
                            <w:bookmarkStart w:id="1" w:name="bookmark2"/>
                            <w:r>
                              <w:rPr>
                                <w:rStyle w:val="Nadpis1"/>
                              </w:rPr>
                              <w:t>IIIMIWH</w:t>
                            </w:r>
                            <w:bookmarkEnd w:id="1"/>
                          </w:p>
                          <w:p w:rsidR="005D5B16" w:rsidRDefault="00FC35F8">
                            <w:pPr>
                              <w:pStyle w:val="Jin0"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NV/25003 ]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447.69999999999999pt;margin-top:11.050000000000001pt;width:95.5pt;height:57.100000000000001pt;z-index:-125829354;mso-wrap-distance-left:0;mso-wrap-distance-top:11.050000000000001pt;mso-wrap-distance-right:0;mso-wrap-distance-bottom:6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32"/>
                        </w:rPr>
                        <w:t>IIIMIWH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t>NV/25003 ]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5B16" w:rsidRDefault="00FC35F8">
      <w:pPr>
        <w:pStyle w:val="Jin0"/>
        <w:spacing w:after="160" w:line="240" w:lineRule="auto"/>
        <w:ind w:left="5200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1320165" distL="144780" distR="114300" simplePos="0" relativeHeight="125829401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165100</wp:posOffset>
                </wp:positionV>
                <wp:extent cx="1386840" cy="332105"/>
                <wp:effectExtent l="0" t="0" r="0" b="0"/>
                <wp:wrapSquare wrapText="right"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321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before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  <w:t>BRYŠÁNEK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49.050000000000004pt;margin-top:13.pt;width:109.2pt;height:26.150000000000002pt;z-index:-125829352;mso-wrap-distance-left:11.4pt;mso-wrap-distance-right:9.pt;mso-wrap-distance-bottom:103.95pt;mso-position-horizontal-relative:page" fillcolor="#999999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12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  <w:t>BRYŠÁNEK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4210" distB="635" distL="114300" distR="339725" simplePos="0" relativeHeight="125829403" behindDoc="0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829310</wp:posOffset>
                </wp:positionV>
                <wp:extent cx="1191895" cy="987425"/>
                <wp:effectExtent l="0" t="0" r="0" b="0"/>
                <wp:wrapSquare wrapText="right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98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5B16" w:rsidRDefault="00FC35F8">
                            <w:pPr>
                              <w:pStyle w:val="Jin0"/>
                              <w:spacing w:after="6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Platba: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after="18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Doprava: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after="6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  <w:t>Datum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after="6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vystavení: </w:t>
                            </w:r>
                            <w:proofErr w:type="gram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22.01.2025</w:t>
                            </w:r>
                            <w:proofErr w:type="gramEnd"/>
                          </w:p>
                          <w:p w:rsidR="005D5B16" w:rsidRDefault="00FC35F8">
                            <w:pPr>
                              <w:pStyle w:val="Jin0"/>
                              <w:spacing w:after="18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platnost do: 29.012025</w:t>
                            </w:r>
                          </w:p>
                          <w:p w:rsidR="005D5B16" w:rsidRDefault="00FC35F8">
                            <w:pPr>
                              <w:pStyle w:val="Jin0"/>
                              <w:spacing w:after="12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Vystavila): 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Lukáš Ryšánek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46.649999999999999pt;margin-top:65.299999999999997pt;width:93.850000000000009pt;height:77.75pt;z-index:-125829350;mso-wrap-distance-left:9.pt;mso-wrap-distance-top:52.300000000000004pt;mso-wrap-distance-right:26.75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Platba: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Doprava: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  <w:u w:val="single"/>
                        </w:rPr>
                        <w:t>Datum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vystavení: 22.01.2025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platnost do: 29.012025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Vystavila):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Lukáš Ryšánek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Jin"/>
          <w:rFonts w:ascii="Arial" w:eastAsia="Arial" w:hAnsi="Arial" w:cs="Arial"/>
          <w:b/>
          <w:bCs/>
          <w:sz w:val="13"/>
          <w:szCs w:val="13"/>
        </w:rPr>
        <w:t>Odběratel</w:t>
      </w:r>
    </w:p>
    <w:p w:rsidR="005D5B16" w:rsidRDefault="00FC35F8">
      <w:pPr>
        <w:pStyle w:val="Jin0"/>
        <w:spacing w:after="480" w:line="240" w:lineRule="auto"/>
        <w:ind w:left="2720" w:firstLine="20"/>
        <w:rPr>
          <w:sz w:val="19"/>
          <w:szCs w:val="19"/>
        </w:rPr>
      </w:pPr>
      <w:r>
        <w:rPr>
          <w:rStyle w:val="Jin"/>
          <w:rFonts w:ascii="Arial" w:eastAsia="Arial" w:hAnsi="Arial" w:cs="Arial"/>
          <w:b/>
          <w:bCs/>
          <w:sz w:val="19"/>
          <w:szCs w:val="19"/>
        </w:rPr>
        <w:t>Kroměřížské technické služby, s.r.o.</w:t>
      </w:r>
    </w:p>
    <w:p w:rsidR="005D5B16" w:rsidRDefault="00FC35F8">
      <w:pPr>
        <w:pStyle w:val="Jin0"/>
        <w:spacing w:after="40" w:line="312" w:lineRule="auto"/>
        <w:ind w:left="2720" w:firstLine="20"/>
        <w:rPr>
          <w:sz w:val="15"/>
          <w:szCs w:val="15"/>
        </w:rPr>
      </w:pPr>
      <w:r>
        <w:rPr>
          <w:rStyle w:val="Jin"/>
          <w:rFonts w:ascii="Arial" w:eastAsia="Arial" w:hAnsi="Arial" w:cs="Arial"/>
          <w:b/>
          <w:bCs/>
          <w:sz w:val="15"/>
          <w:szCs w:val="15"/>
        </w:rPr>
        <w:t>Kaplanova 2959/6 76701 Kroměříž Česká republika</w:t>
      </w:r>
    </w:p>
    <w:p w:rsidR="005D5B16" w:rsidRDefault="00FC35F8">
      <w:pPr>
        <w:pStyle w:val="Jin0"/>
        <w:tabs>
          <w:tab w:val="left" w:pos="4420"/>
        </w:tabs>
        <w:spacing w:after="120" w:line="240" w:lineRule="auto"/>
        <w:ind w:left="2720" w:firstLine="20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sz w:val="13"/>
          <w:szCs w:val="13"/>
        </w:rPr>
        <w:t>IČ: 26276437</w:t>
      </w:r>
      <w:r>
        <w:rPr>
          <w:rStyle w:val="Jin"/>
          <w:rFonts w:ascii="Arial" w:eastAsia="Arial" w:hAnsi="Arial" w:cs="Arial"/>
          <w:b/>
          <w:bCs/>
          <w:sz w:val="13"/>
          <w:szCs w:val="13"/>
        </w:rPr>
        <w:tab/>
        <w:t>DIČ: CZ26276437</w:t>
      </w:r>
    </w:p>
    <w:p w:rsidR="005D5B16" w:rsidRDefault="00FC35F8">
      <w:pPr>
        <w:pStyle w:val="Jin0"/>
        <w:tabs>
          <w:tab w:val="left" w:pos="4780"/>
        </w:tabs>
        <w:spacing w:line="240" w:lineRule="auto"/>
        <w:ind w:left="2720" w:firstLine="20"/>
        <w:rPr>
          <w:sz w:val="20"/>
          <w:szCs w:val="20"/>
        </w:rPr>
      </w:pPr>
      <w:r>
        <w:rPr>
          <w:rStyle w:val="Jin"/>
          <w:rFonts w:ascii="Arial" w:eastAsia="Arial" w:hAnsi="Arial" w:cs="Arial"/>
          <w:b/>
          <w:bCs/>
          <w:sz w:val="13"/>
          <w:szCs w:val="13"/>
        </w:rPr>
        <w:t>Konečný příjemce</w:t>
      </w:r>
      <w:r>
        <w:rPr>
          <w:rStyle w:val="Jin"/>
          <w:rFonts w:ascii="Arial" w:eastAsia="Arial" w:hAnsi="Arial" w:cs="Arial"/>
          <w:b/>
          <w:bCs/>
          <w:sz w:val="13"/>
          <w:szCs w:val="13"/>
        </w:rPr>
        <w:tab/>
      </w:r>
      <w:proofErr w:type="spellStart"/>
      <w:r>
        <w:rPr>
          <w:rStyle w:val="Jin"/>
          <w:rFonts w:ascii="Arial" w:eastAsia="Arial" w:hAnsi="Arial" w:cs="Arial"/>
          <w:strike/>
          <w:sz w:val="20"/>
          <w:szCs w:val="20"/>
        </w:rPr>
        <w:t>faKtUFYfiŽkmtS.Cř</w:t>
      </w:r>
      <w:proofErr w:type="spellEnd"/>
    </w:p>
    <w:p w:rsidR="005D5B16" w:rsidRDefault="00FC35F8">
      <w:pPr>
        <w:pStyle w:val="Jin0"/>
        <w:spacing w:after="40" w:line="240" w:lineRule="auto"/>
        <w:ind w:left="4480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sz w:val="13"/>
          <w:szCs w:val="13"/>
        </w:rPr>
        <w:t>tel.: 571130160</w:t>
      </w:r>
    </w:p>
    <w:p w:rsidR="005D5B16" w:rsidRDefault="00FC35F8">
      <w:pPr>
        <w:pStyle w:val="Jin0"/>
        <w:spacing w:after="240" w:line="240" w:lineRule="auto"/>
        <w:ind w:left="2720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sz w:val="13"/>
          <w:szCs w:val="13"/>
        </w:rPr>
        <w:t xml:space="preserve">Kroměřížské technické služby, </w:t>
      </w:r>
      <w:r>
        <w:rPr>
          <w:rStyle w:val="Jin"/>
          <w:rFonts w:ascii="Arial" w:eastAsia="Arial" w:hAnsi="Arial" w:cs="Arial"/>
          <w:b/>
          <w:bCs/>
          <w:sz w:val="13"/>
          <w:szCs w:val="13"/>
        </w:rPr>
        <w:t>s.r.o.</w:t>
      </w:r>
    </w:p>
    <w:p w:rsidR="005D5B16" w:rsidRDefault="00FC35F8">
      <w:pPr>
        <w:pStyle w:val="Jin0"/>
        <w:spacing w:after="400" w:line="317" w:lineRule="auto"/>
        <w:ind w:left="5200" w:firstLine="20"/>
        <w:rPr>
          <w:sz w:val="13"/>
          <w:szCs w:val="13"/>
        </w:rPr>
      </w:pPr>
      <w:bookmarkStart w:id="2" w:name="_GoBack"/>
      <w:bookmarkEnd w:id="2"/>
      <w:r>
        <w:rPr>
          <w:rStyle w:val="Jin"/>
          <w:rFonts w:ascii="Arial" w:eastAsia="Arial" w:hAnsi="Arial" w:cs="Arial"/>
          <w:b/>
          <w:bCs/>
          <w:sz w:val="13"/>
          <w:szCs w:val="13"/>
        </w:rPr>
        <w:t>Kaplanova 2959/6 76701 Kroměříž 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816"/>
        <w:gridCol w:w="1152"/>
        <w:gridCol w:w="1094"/>
        <w:gridCol w:w="744"/>
        <w:gridCol w:w="941"/>
        <w:gridCol w:w="1114"/>
        <w:gridCol w:w="864"/>
      </w:tblGrid>
      <w:tr w:rsidR="005D5B1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3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Označení dodávky</w:t>
            </w:r>
          </w:p>
        </w:tc>
        <w:tc>
          <w:tcPr>
            <w:tcW w:w="816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Katalog</w:t>
            </w:r>
          </w:p>
        </w:tc>
        <w:tc>
          <w:tcPr>
            <w:tcW w:w="1152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Počet </w:t>
            </w: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m.J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.</w:t>
            </w:r>
            <w:proofErr w:type="gramEnd"/>
          </w:p>
        </w:tc>
        <w:tc>
          <w:tcPr>
            <w:tcW w:w="1094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Cena za </w:t>
            </w: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m.J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.</w:t>
            </w:r>
            <w:proofErr w:type="gramEnd"/>
          </w:p>
        </w:tc>
        <w:tc>
          <w:tcPr>
            <w:tcW w:w="744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ind w:right="20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Sazba</w:t>
            </w:r>
          </w:p>
        </w:tc>
        <w:tc>
          <w:tcPr>
            <w:tcW w:w="941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Základ</w:t>
            </w:r>
          </w:p>
        </w:tc>
        <w:tc>
          <w:tcPr>
            <w:tcW w:w="1114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ind w:right="20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DPH</w:t>
            </w:r>
          </w:p>
        </w:tc>
        <w:tc>
          <w:tcPr>
            <w:tcW w:w="864" w:type="dxa"/>
            <w:shd w:val="clear" w:color="auto" w:fill="auto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Celkem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Obrubník chodníkový 100x10x25cm přírodní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OB0064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2 500,00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101,00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252500,00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53 025,00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305 525,00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Obrubník silniční </w:t>
            </w: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100x25x15cm rovný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OB0205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400,00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119,04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47616,00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9999,36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57615,36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Obrubník silniční 50x25x15cm rovný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OB0061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87,70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4 385,00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4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920,85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5305,85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Obrubník nájezdový 100/15/15cm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OB0062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200,00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104,60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20 920,00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4 393^0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25313,20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Obrubník siln.přechod.100x15x25/15cm Levý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OB0349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150,00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323,61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48 541,50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10 193,72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58735,22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Obrubník siln.přechod.100x15x25/15cm Pravý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OB0350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150,00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323,61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48 541,50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10193,72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5873522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Zámk.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dl.PARKETA</w:t>
            </w:r>
            <w:proofErr w:type="spellEnd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20x10x6cm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slep.červ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. (9,6m2/pal.)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DS0078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60,00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424,30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25458,00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5 346,18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30 804,18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Zámk.dlažba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KOSTKA 20x20x6cm přírodní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DS0384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3 500,00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234,40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820400,00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right="200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172 284,00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992 684,00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Zámk.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dl.PARKETA</w:t>
            </w:r>
            <w:proofErr w:type="spellEnd"/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20x10x6cm přírodní (9,6m2/pal.)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DS0373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213,00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21 300,00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4473,00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25</w:t>
            </w: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773,00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Zámk.dlažba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KOSTKA 20x20x8cm přírodní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DS0397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262,50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13 125,00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2756,25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1588125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Zámk.dlažba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KOSTKA 20x20x8ctn červená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DS0058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312,00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15600,00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3 276,00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18876,00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Zámk.dlažba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KOSTKA vod. 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linie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20x20x6cm přírodní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DS1145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80,00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410,50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32840,00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6 896,40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39736,40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Zatravňovací dlažba 60x40x8cm šedá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ZA0011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8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59,40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2376,00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4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498,96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2874,96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Přídlažba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silniční 50x25x8cm přírodní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DK0001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200,00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51,50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10300,00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2163,00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12463,00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Kamionová doprava 24t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5D5B16" w:rsidRDefault="005D5B1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29,00</w:t>
            </w: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jízda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2 700,00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78300,00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16443,00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94 743,00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Geotextflie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300g /2x50m/ šedá nezažehlená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5D5B16" w:rsidRDefault="005D5B1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1000,00 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13,60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13600,00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2856,00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16456,00</w:t>
            </w:r>
          </w:p>
        </w:tc>
      </w:tr>
      <w:tr w:rsidR="005D5B1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Geotextilie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300g /1x50m/ šedá nezažehlená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B16" w:rsidRDefault="005D5B1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1000,00 m2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13,60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13600,00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2856,00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B16" w:rsidRDefault="00FC35F8">
            <w:pPr>
              <w:pStyle w:val="Jin0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16 456,00</w:t>
            </w:r>
          </w:p>
        </w:tc>
      </w:tr>
    </w:tbl>
    <w:p w:rsidR="005D5B16" w:rsidRDefault="005D5B16">
      <w:pPr>
        <w:spacing w:after="4319" w:line="1" w:lineRule="exact"/>
      </w:pPr>
    </w:p>
    <w:p w:rsidR="005D5B16" w:rsidRDefault="00FC35F8">
      <w:pPr>
        <w:pStyle w:val="Jin0"/>
        <w:spacing w:after="200" w:line="240" w:lineRule="auto"/>
        <w:jc w:val="center"/>
        <w:rPr>
          <w:sz w:val="9"/>
          <w:szCs w:val="9"/>
        </w:rPr>
      </w:pPr>
      <w:r>
        <w:rPr>
          <w:rStyle w:val="Jin"/>
          <w:rFonts w:ascii="Arial" w:eastAsia="Arial" w:hAnsi="Arial" w:cs="Arial"/>
          <w:i/>
          <w:iCs/>
          <w:sz w:val="9"/>
          <w:szCs w:val="9"/>
        </w:rPr>
        <w:t xml:space="preserve">Zpracováno systémem </w:t>
      </w:r>
      <w:r>
        <w:rPr>
          <w:rStyle w:val="Jin"/>
          <w:rFonts w:ascii="Arial" w:eastAsia="Arial" w:hAnsi="Arial" w:cs="Arial"/>
          <w:i/>
          <w:iCs/>
          <w:sz w:val="9"/>
          <w:szCs w:val="9"/>
        </w:rPr>
        <w:t>Money 83</w:t>
      </w:r>
    </w:p>
    <w:sectPr w:rsidR="005D5B16">
      <w:pgSz w:w="11900" w:h="16840"/>
      <w:pgMar w:top="718" w:right="1132" w:bottom="0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F8" w:rsidRDefault="00FC35F8">
      <w:r>
        <w:separator/>
      </w:r>
    </w:p>
  </w:endnote>
  <w:endnote w:type="continuationSeparator" w:id="0">
    <w:p w:rsidR="00FC35F8" w:rsidRDefault="00FC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16" w:rsidRDefault="00FC35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10070465</wp:posOffset>
              </wp:positionV>
              <wp:extent cx="78041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5B16" w:rsidRDefault="00FC35F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sz w:val="22"/>
                              <w:szCs w:val="22"/>
                            </w:rPr>
                            <w:t xml:space="preserve">Stránka </w:t>
                          </w:r>
                          <w:proofErr w:type="gramEnd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173FC"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455.55pt;margin-top:792.95pt;width:61.4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" filled="f" stroked="f">
              <v:textbox style="mso-fit-shape-to-text:t" inset="0,0,0,0">
                <w:txbxContent>
                  <w:p w:rsidR="005D5B16" w:rsidRDefault="00FC35F8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Zhlavnebozpat2"/>
                        <w:rFonts w:ascii="Garamond" w:eastAsia="Garamond" w:hAnsi="Garamond" w:cs="Garamond"/>
                        <w:sz w:val="22"/>
                        <w:szCs w:val="22"/>
                      </w:rPr>
                      <w:t xml:space="preserve">Stránka </w:t>
                    </w:r>
                    <w:proofErr w:type="gramEnd"/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0173FC"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16" w:rsidRDefault="005D5B1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16" w:rsidRDefault="00FC35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5846445</wp:posOffset>
              </wp:positionH>
              <wp:positionV relativeFrom="page">
                <wp:posOffset>10027920</wp:posOffset>
              </wp:positionV>
              <wp:extent cx="78930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5B16" w:rsidRDefault="00FC35F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sz w:val="22"/>
                              <w:szCs w:val="22"/>
                            </w:rPr>
                            <w:t xml:space="preserve">Stránka </w:t>
                          </w:r>
                          <w:proofErr w:type="gramEnd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537A"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6" type="#_x0000_t202" style="position:absolute;margin-left:460.35pt;margin-top:789.6pt;width:62.15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" filled="f" stroked="f">
              <v:textbox style="mso-fit-shape-to-text:t" inset="0,0,0,0">
                <w:txbxContent>
                  <w:p w:rsidR="005D5B16" w:rsidRDefault="00FC35F8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Zhlavnebozpat2"/>
                        <w:rFonts w:ascii="Garamond" w:eastAsia="Garamond" w:hAnsi="Garamond" w:cs="Garamond"/>
                        <w:sz w:val="22"/>
                        <w:szCs w:val="22"/>
                      </w:rPr>
                      <w:t xml:space="preserve">Stránka </w:t>
                    </w:r>
                    <w:proofErr w:type="gramEnd"/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F537A"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F8" w:rsidRDefault="00FC35F8"/>
  </w:footnote>
  <w:footnote w:type="continuationSeparator" w:id="0">
    <w:p w:rsidR="00FC35F8" w:rsidRDefault="00FC3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16" w:rsidRDefault="005D5B1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16" w:rsidRDefault="005D5B1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16" w:rsidRDefault="00FC35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6626860</wp:posOffset>
              </wp:positionH>
              <wp:positionV relativeFrom="page">
                <wp:posOffset>158115</wp:posOffset>
              </wp:positionV>
              <wp:extent cx="768350" cy="1676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5B16" w:rsidRDefault="005D5B16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521.8pt;margin-top:12.45pt;width:60.5pt;height:13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" filled="f" stroked="f">
              <v:textbox style="mso-fit-shape-to-text:t" inset="0,0,0,0">
                <w:txbxContent>
                  <w:p w:rsidR="005D5B16" w:rsidRDefault="005D5B16">
                    <w:pPr>
                      <w:pStyle w:val="Zhlavnebozpat2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7F1"/>
    <w:multiLevelType w:val="multilevel"/>
    <w:tmpl w:val="68AAA0E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45EC5"/>
    <w:multiLevelType w:val="multilevel"/>
    <w:tmpl w:val="09C4ED1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A6C6A"/>
    <w:multiLevelType w:val="multilevel"/>
    <w:tmpl w:val="C922A962"/>
    <w:lvl w:ilvl="0">
      <w:start w:val="6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36D17"/>
    <w:multiLevelType w:val="multilevel"/>
    <w:tmpl w:val="C44C1530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355EC"/>
    <w:multiLevelType w:val="multilevel"/>
    <w:tmpl w:val="19927D3C"/>
    <w:lvl w:ilvl="0">
      <w:start w:val="3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AD73D1"/>
    <w:multiLevelType w:val="multilevel"/>
    <w:tmpl w:val="F6A0E99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21612"/>
    <w:multiLevelType w:val="multilevel"/>
    <w:tmpl w:val="EDA0C3D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354B13"/>
    <w:multiLevelType w:val="multilevel"/>
    <w:tmpl w:val="DB445F2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857017"/>
    <w:multiLevelType w:val="multilevel"/>
    <w:tmpl w:val="EF82D90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116C36"/>
    <w:multiLevelType w:val="multilevel"/>
    <w:tmpl w:val="3D00A05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16"/>
    <w:rsid w:val="000173FC"/>
    <w:rsid w:val="005D5B16"/>
    <w:rsid w:val="007F537A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E0ECB-C9B1-4324-B840-E996800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540"/>
      <w:jc w:val="center"/>
      <w:outlineLvl w:val="1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23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80"/>
      <w:jc w:val="center"/>
      <w:outlineLvl w:val="0"/>
    </w:pPr>
    <w:rPr>
      <w:rFonts w:ascii="Arial" w:eastAsia="Arial" w:hAnsi="Arial" w:cs="Arial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SB305_INEO_250319061200</dc:title>
  <dc:subject/>
  <dc:creator/>
  <cp:keywords/>
  <cp:lastModifiedBy>Ondřej Šabata</cp:lastModifiedBy>
  <cp:revision>3</cp:revision>
  <dcterms:created xsi:type="dcterms:W3CDTF">2025-07-09T07:51:00Z</dcterms:created>
  <dcterms:modified xsi:type="dcterms:W3CDTF">2025-07-09T07:52:00Z</dcterms:modified>
</cp:coreProperties>
</file>