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A86" w:rsidRDefault="005C6466">
      <w:pPr>
        <w:spacing w:after="94"/>
        <w:ind w:left="-5" w:right="5" w:hanging="10"/>
        <w:jc w:val="right"/>
      </w:pPr>
      <w:r>
        <w:rPr>
          <w:noProof/>
        </w:rPr>
        <w:drawing>
          <wp:inline distT="0" distB="0" distL="0" distR="0">
            <wp:extent cx="1924685" cy="35179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Pojistná smlouva č. 2735304293 </w:t>
      </w:r>
    </w:p>
    <w:p w:rsidR="00163A86" w:rsidRDefault="005C6466">
      <w:pPr>
        <w:spacing w:after="0"/>
        <w:ind w:left="333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163A86" w:rsidRDefault="005C6466">
      <w:pPr>
        <w:spacing w:after="0"/>
        <w:ind w:left="5229" w:right="1340"/>
      </w:pPr>
      <w:r>
        <w:rPr>
          <w:rFonts w:ascii="Arial" w:eastAsia="Arial" w:hAnsi="Arial" w:cs="Arial"/>
          <w:b/>
          <w:sz w:val="32"/>
        </w:rPr>
        <w:t xml:space="preserve">POJISTNÁ SMLOUVA č. 2735304293 </w:t>
      </w:r>
    </w:p>
    <w:tbl>
      <w:tblPr>
        <w:tblStyle w:val="TableGrid"/>
        <w:tblW w:w="905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28"/>
        <w:gridCol w:w="3828"/>
      </w:tblGrid>
      <w:tr w:rsidR="00163A86">
        <w:trPr>
          <w:trHeight w:val="967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163A86" w:rsidRDefault="005C6466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63A86" w:rsidRDefault="005C64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63A86" w:rsidRDefault="005C6466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63A86" w:rsidRDefault="005C646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63A86" w:rsidRDefault="00163A86"/>
        </w:tc>
      </w:tr>
      <w:tr w:rsidR="00163A86">
        <w:trPr>
          <w:trHeight w:val="252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163A86" w:rsidRDefault="005C646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Pojištěný: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63A86" w:rsidRDefault="005C646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Pojistník: </w:t>
            </w:r>
          </w:p>
        </w:tc>
      </w:tr>
      <w:tr w:rsidR="00163A86">
        <w:trPr>
          <w:trHeight w:val="253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163A86" w:rsidRDefault="005C6466">
            <w:pPr>
              <w:spacing w:after="0"/>
            </w:pPr>
            <w:r>
              <w:rPr>
                <w:rFonts w:ascii="Arial" w:eastAsia="Arial" w:hAnsi="Arial" w:cs="Arial"/>
              </w:rPr>
              <w:t xml:space="preserve">České vysoké učení technické v Praze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63A86" w:rsidRDefault="005C6466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České vysoké učení technické v Praze </w:t>
            </w:r>
          </w:p>
        </w:tc>
      </w:tr>
      <w:tr w:rsidR="00163A86">
        <w:trPr>
          <w:trHeight w:val="253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163A86" w:rsidRDefault="005C6466">
            <w:pPr>
              <w:spacing w:after="0"/>
            </w:pPr>
            <w:r>
              <w:rPr>
                <w:rFonts w:ascii="Arial" w:eastAsia="Arial" w:hAnsi="Arial" w:cs="Arial"/>
              </w:rPr>
              <w:t xml:space="preserve">Fakulta elektrotechnická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63A86" w:rsidRDefault="005C6466">
            <w:pPr>
              <w:spacing w:after="0"/>
            </w:pPr>
            <w:r>
              <w:rPr>
                <w:rFonts w:ascii="Arial" w:eastAsia="Arial" w:hAnsi="Arial" w:cs="Arial"/>
              </w:rPr>
              <w:t xml:space="preserve">Fakulta elektrotechnická </w:t>
            </w:r>
          </w:p>
        </w:tc>
      </w:tr>
      <w:tr w:rsidR="00163A86">
        <w:trPr>
          <w:trHeight w:val="253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163A86" w:rsidRDefault="005C6466">
            <w:pPr>
              <w:spacing w:after="0"/>
            </w:pPr>
            <w:r>
              <w:rPr>
                <w:rFonts w:ascii="Arial" w:eastAsia="Arial" w:hAnsi="Arial" w:cs="Arial"/>
              </w:rPr>
              <w:t xml:space="preserve">Technická 2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63A86" w:rsidRDefault="005C6466">
            <w:pPr>
              <w:spacing w:after="0"/>
            </w:pPr>
            <w:r>
              <w:rPr>
                <w:rFonts w:ascii="Arial" w:eastAsia="Arial" w:hAnsi="Arial" w:cs="Arial"/>
              </w:rPr>
              <w:t xml:space="preserve">Technická 2 </w:t>
            </w:r>
          </w:p>
        </w:tc>
      </w:tr>
      <w:tr w:rsidR="00163A86">
        <w:trPr>
          <w:trHeight w:val="231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163A86" w:rsidRDefault="005C6466">
            <w:pPr>
              <w:spacing w:after="0"/>
            </w:pPr>
            <w:proofErr w:type="gramStart"/>
            <w:r>
              <w:rPr>
                <w:rFonts w:ascii="Arial" w:eastAsia="Arial" w:hAnsi="Arial" w:cs="Arial"/>
              </w:rPr>
              <w:t>166  27</w:t>
            </w:r>
            <w:proofErr w:type="gramEnd"/>
            <w:r>
              <w:rPr>
                <w:rFonts w:ascii="Arial" w:eastAsia="Arial" w:hAnsi="Arial" w:cs="Arial"/>
              </w:rPr>
              <w:t xml:space="preserve"> Praha 6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63A86" w:rsidRDefault="005C6466">
            <w:pPr>
              <w:tabs>
                <w:tab w:val="center" w:pos="1380"/>
              </w:tabs>
              <w:spacing w:after="0"/>
            </w:pPr>
            <w:proofErr w:type="gramStart"/>
            <w:r>
              <w:rPr>
                <w:rFonts w:ascii="Arial" w:eastAsia="Arial" w:hAnsi="Arial" w:cs="Arial"/>
              </w:rPr>
              <w:t>166  27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Praha 6 </w:t>
            </w:r>
          </w:p>
        </w:tc>
      </w:tr>
    </w:tbl>
    <w:p w:rsidR="00163A86" w:rsidRDefault="005C6466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</w:rPr>
        <w:t xml:space="preserve">Veřejná vysoká škola zřízená zákonem č.111/98 Sb. </w:t>
      </w:r>
    </w:p>
    <w:p w:rsidR="00163A86" w:rsidRDefault="005C6466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63A86" w:rsidRDefault="005C646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63A86" w:rsidRDefault="005C6466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</w:rPr>
        <w:t xml:space="preserve">Odchylně od znění článku 4 Všeobecných pojistných podmínek – obecná část UCZ/05 se ujednává, že pojištění vzniká dnem uvedeným v této pojistné smlouvě. </w:t>
      </w:r>
    </w:p>
    <w:p w:rsidR="00163A86" w:rsidRDefault="005C6466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</w:rPr>
        <w:t>Je-li pojistná smlouva uzavírána po datu počátku pojištění, pojištění vzniká pouze tehdy, pokud pojistn</w:t>
      </w:r>
      <w:r>
        <w:rPr>
          <w:rFonts w:ascii="Arial" w:eastAsia="Arial" w:hAnsi="Arial" w:cs="Arial"/>
        </w:rPr>
        <w:t xml:space="preserve">ík podepíše pojistnou smlouvu nejpozději do 14 dnů od podpisu pojistitelem a neprodleně ji doručí zpět pojistiteli. </w:t>
      </w:r>
    </w:p>
    <w:p w:rsidR="00163A86" w:rsidRDefault="005C6466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669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4536"/>
      </w:tblGrid>
      <w:tr w:rsidR="00163A86">
        <w:trPr>
          <w:trHeight w:val="2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63A86" w:rsidRDefault="005C646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Počátek pojištění: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63A86" w:rsidRDefault="005C646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Arial" w:eastAsia="Arial" w:hAnsi="Arial" w:cs="Arial"/>
              </w:rPr>
              <w:t>01. 11. 2008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163A86">
        <w:trPr>
          <w:trHeight w:val="25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63A86" w:rsidRDefault="005C646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Konec pojištění: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63A86" w:rsidRDefault="005C6466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Arial" w:eastAsia="Arial" w:hAnsi="Arial" w:cs="Arial"/>
              </w:rPr>
              <w:t>01. 11. 2009 s automatickým prodlužováním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163A86">
        <w:trPr>
          <w:trHeight w:val="23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63A86" w:rsidRDefault="005C646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Změna platná od: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63A86" w:rsidRDefault="005C6466">
            <w:pPr>
              <w:spacing w:after="0"/>
            </w:pPr>
            <w:r>
              <w:rPr>
                <w:rFonts w:ascii="Arial" w:eastAsia="Arial" w:hAnsi="Arial" w:cs="Arial"/>
              </w:rPr>
              <w:t xml:space="preserve">  27. 06. 2025 </w:t>
            </w:r>
            <w:r>
              <w:rPr>
                <w:rFonts w:ascii="Arial" w:eastAsia="Arial" w:hAnsi="Arial" w:cs="Arial"/>
              </w:rPr>
              <w:t xml:space="preserve">dodatek č.023 </w:t>
            </w:r>
          </w:p>
        </w:tc>
      </w:tr>
    </w:tbl>
    <w:p w:rsidR="00163A86" w:rsidRDefault="005C6466">
      <w:pPr>
        <w:spacing w:after="2"/>
        <w:ind w:left="-5" w:hanging="10"/>
      </w:pPr>
      <w:r>
        <w:rPr>
          <w:rFonts w:ascii="Arial" w:eastAsia="Arial" w:hAnsi="Arial" w:cs="Arial"/>
        </w:rPr>
        <w:t xml:space="preserve">----------------------------------------------------------------------------------------------------------------------------------------- </w:t>
      </w:r>
    </w:p>
    <w:p w:rsidR="00163A86" w:rsidRDefault="005C6466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</w:rPr>
        <w:t xml:space="preserve">Sjednaný rozsah pojištění (pojistná nebezpečí) a předměty pojištění: </w:t>
      </w:r>
    </w:p>
    <w:p w:rsidR="00163A86" w:rsidRDefault="005C6466">
      <w:pPr>
        <w:pStyle w:val="Nadpis1"/>
        <w:numPr>
          <w:ilvl w:val="0"/>
          <w:numId w:val="0"/>
        </w:numPr>
        <w:ind w:left="-5"/>
      </w:pPr>
      <w:r>
        <w:t>-------------------------------</w:t>
      </w:r>
      <w:r>
        <w:t xml:space="preserve">---------------------------------------------------------------------------------------------------------- </w:t>
      </w:r>
    </w:p>
    <w:p w:rsidR="00163A86" w:rsidRDefault="005C6466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63A86" w:rsidRDefault="005C6466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</w:rPr>
        <w:t xml:space="preserve">Tímto dodatkem dochází k úpravě ujednání – viz níže a je platné dne 27.6.2025. </w:t>
      </w:r>
    </w:p>
    <w:p w:rsidR="00163A86" w:rsidRDefault="005C6466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</w:rPr>
        <w:t xml:space="preserve">Rozsahy pojištění, pojistné částky a </w:t>
      </w:r>
      <w:r>
        <w:rPr>
          <w:rFonts w:ascii="Arial" w:eastAsia="Arial" w:hAnsi="Arial" w:cs="Arial"/>
        </w:rPr>
        <w:t xml:space="preserve">ostatní ujednání v pojistné smlouvě zůstávají beze změny.  </w:t>
      </w:r>
    </w:p>
    <w:p w:rsidR="00163A86" w:rsidRDefault="005C6466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63A86" w:rsidRDefault="005C6466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  <w:b/>
        </w:rPr>
        <w:t>1GZ01, 1FZ01 Poškození nebo zničení elektronických zařízení včetně jejích součástí a příslušenství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a poškození nebo zničení stroje a strojních </w:t>
      </w:r>
      <w:proofErr w:type="gramStart"/>
      <w:r>
        <w:rPr>
          <w:rFonts w:ascii="Arial" w:eastAsia="Arial" w:hAnsi="Arial" w:cs="Arial"/>
          <w:b/>
        </w:rPr>
        <w:t>zařízení</w:t>
      </w:r>
      <w:r>
        <w:rPr>
          <w:rFonts w:ascii="Arial" w:eastAsia="Arial" w:hAnsi="Arial" w:cs="Arial"/>
        </w:rPr>
        <w:t xml:space="preserve"> - v</w:t>
      </w:r>
      <w:proofErr w:type="gramEnd"/>
      <w:r>
        <w:rPr>
          <w:rFonts w:ascii="Arial" w:eastAsia="Arial" w:hAnsi="Arial" w:cs="Arial"/>
        </w:rPr>
        <w:t xml:space="preserve"> rozsahu VPP UCZ/Ele/05 a UCZ/</w:t>
      </w:r>
      <w:proofErr w:type="spellStart"/>
      <w:r>
        <w:rPr>
          <w:rFonts w:ascii="Arial" w:eastAsia="Arial" w:hAnsi="Arial" w:cs="Arial"/>
        </w:rPr>
        <w:t>Str</w:t>
      </w:r>
      <w:proofErr w:type="spellEnd"/>
      <w:r>
        <w:rPr>
          <w:rFonts w:ascii="Arial" w:eastAsia="Arial" w:hAnsi="Arial" w:cs="Arial"/>
        </w:rPr>
        <w:t xml:space="preserve">/05 </w:t>
      </w:r>
    </w:p>
    <w:p w:rsidR="00163A86" w:rsidRDefault="005C6466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63A86" w:rsidRDefault="005C6466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  <w:b/>
        </w:rPr>
        <w:t>Odchylně od VPP se ujednává, že pojištění se vztahuje i na poškození, zničení, odcizení nebo ztrátu při dopravní nehodě. Pojištění se rovněž vztahuje na škody při vloupání do motorového vozidla. Tato odchylka se však nevztahuje na poškození, odcizení či z</w:t>
      </w:r>
      <w:r>
        <w:rPr>
          <w:rFonts w:ascii="Arial" w:eastAsia="Arial" w:hAnsi="Arial" w:cs="Arial"/>
          <w:b/>
        </w:rPr>
        <w:t>ničení elektroniky ze zaparkovaného vozidla od 22. hodiny večerní do 6. hodiny ranní. Pokud se motorové vozidlo nachází bez dozoru, musí být řádně uzavřeno a uzamčeno, pojištěný předmět nesmí být zvenčí viditelný. Pokud se motorové vozidlo nachází bez dozo</w:t>
      </w:r>
      <w:r>
        <w:rPr>
          <w:rFonts w:ascii="Arial" w:eastAsia="Arial" w:hAnsi="Arial" w:cs="Arial"/>
          <w:b/>
        </w:rPr>
        <w:t xml:space="preserve">ru déle než 2 hodiny, musí být odstaveno v uzamčené garáži nebo na oploceném uzamčeném místě, </w:t>
      </w:r>
      <w:proofErr w:type="spellStart"/>
      <w:r>
        <w:rPr>
          <w:rFonts w:ascii="Arial" w:eastAsia="Arial" w:hAnsi="Arial" w:cs="Arial"/>
          <w:b/>
        </w:rPr>
        <w:t>eventuelně</w:t>
      </w:r>
      <w:proofErr w:type="spellEnd"/>
      <w:r>
        <w:rPr>
          <w:rFonts w:ascii="Arial" w:eastAsia="Arial" w:hAnsi="Arial" w:cs="Arial"/>
          <w:b/>
        </w:rPr>
        <w:t xml:space="preserve"> na hlídaném parkovišti. </w:t>
      </w:r>
    </w:p>
    <w:p w:rsidR="00163A86" w:rsidRDefault="005C6466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  <w:b/>
        </w:rPr>
        <w:t xml:space="preserve">Pojištění se vztahuje i na škody způsobené nakládkou a vykládkou. </w:t>
      </w:r>
    </w:p>
    <w:p w:rsidR="00163A86" w:rsidRDefault="005C6466">
      <w:pPr>
        <w:pStyle w:val="Nadpis1"/>
        <w:numPr>
          <w:ilvl w:val="0"/>
          <w:numId w:val="0"/>
        </w:numPr>
        <w:ind w:left="-5"/>
      </w:pPr>
      <w:r>
        <w:t>-----------------------------------------------------------</w:t>
      </w:r>
      <w:r>
        <w:t xml:space="preserve">-------------------------------------------------------------------------------- </w:t>
      </w:r>
    </w:p>
    <w:p w:rsidR="00163A86" w:rsidRDefault="005C6466">
      <w:pPr>
        <w:spacing w:after="0"/>
        <w:ind w:left="71"/>
        <w:jc w:val="center"/>
      </w:pPr>
      <w:r>
        <w:rPr>
          <w:rFonts w:ascii="Arial" w:eastAsia="Arial" w:hAnsi="Arial" w:cs="Arial"/>
          <w:b/>
          <w:sz w:val="26"/>
        </w:rPr>
        <w:t xml:space="preserve"> </w:t>
      </w:r>
    </w:p>
    <w:p w:rsidR="00163A86" w:rsidRDefault="005C6466">
      <w:pPr>
        <w:spacing w:after="0"/>
        <w:ind w:left="71"/>
        <w:jc w:val="center"/>
      </w:pPr>
      <w:r>
        <w:rPr>
          <w:rFonts w:ascii="Arial" w:eastAsia="Arial" w:hAnsi="Arial" w:cs="Arial"/>
          <w:b/>
          <w:sz w:val="26"/>
        </w:rPr>
        <w:t xml:space="preserve"> </w:t>
      </w:r>
    </w:p>
    <w:p w:rsidR="00163A86" w:rsidRDefault="005C6466">
      <w:pPr>
        <w:spacing w:after="701"/>
        <w:ind w:left="71"/>
        <w:jc w:val="center"/>
      </w:pPr>
      <w:r>
        <w:rPr>
          <w:rFonts w:ascii="Arial" w:eastAsia="Arial" w:hAnsi="Arial" w:cs="Arial"/>
          <w:b/>
          <w:sz w:val="26"/>
        </w:rPr>
        <w:t xml:space="preserve"> </w:t>
      </w:r>
    </w:p>
    <w:p w:rsidR="00163A86" w:rsidRDefault="005C6466">
      <w:pPr>
        <w:spacing w:after="350"/>
        <w:ind w:left="11" w:hanging="10"/>
        <w:jc w:val="center"/>
      </w:pPr>
      <w:r>
        <w:rPr>
          <w:rFonts w:ascii="Arial" w:eastAsia="Arial" w:hAnsi="Arial" w:cs="Arial"/>
        </w:rPr>
        <w:lastRenderedPageBreak/>
        <w:t xml:space="preserve">Strana 1 (celkem 2) </w:t>
      </w:r>
    </w:p>
    <w:p w:rsidR="00163A86" w:rsidRDefault="005C6466">
      <w:pPr>
        <w:spacing w:after="39"/>
        <w:ind w:left="-5" w:right="5" w:hanging="10"/>
        <w:jc w:val="right"/>
      </w:pPr>
      <w:r>
        <w:rPr>
          <w:noProof/>
        </w:rPr>
        <w:drawing>
          <wp:inline distT="0" distB="0" distL="0" distR="0">
            <wp:extent cx="1924685" cy="351790"/>
            <wp:effectExtent l="0" t="0" r="0" b="0"/>
            <wp:docPr id="172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Pojistná smlouva č. 2735304293 </w:t>
      </w:r>
    </w:p>
    <w:p w:rsidR="00163A86" w:rsidRDefault="005C6466">
      <w:pPr>
        <w:spacing w:after="0"/>
        <w:ind w:left="71"/>
        <w:jc w:val="center"/>
      </w:pPr>
      <w:r>
        <w:rPr>
          <w:rFonts w:ascii="Arial" w:eastAsia="Arial" w:hAnsi="Arial" w:cs="Arial"/>
          <w:b/>
          <w:sz w:val="26"/>
        </w:rPr>
        <w:t xml:space="preserve"> </w:t>
      </w:r>
    </w:p>
    <w:p w:rsidR="00163A86" w:rsidRDefault="005C6466">
      <w:pPr>
        <w:spacing w:after="0"/>
        <w:ind w:left="71"/>
        <w:jc w:val="center"/>
      </w:pPr>
      <w:r>
        <w:rPr>
          <w:rFonts w:ascii="Arial" w:eastAsia="Arial" w:hAnsi="Arial" w:cs="Arial"/>
          <w:b/>
          <w:sz w:val="26"/>
        </w:rPr>
        <w:t xml:space="preserve"> </w:t>
      </w:r>
    </w:p>
    <w:p w:rsidR="00163A86" w:rsidRDefault="005C6466">
      <w:pPr>
        <w:spacing w:after="0"/>
        <w:ind w:right="5"/>
        <w:jc w:val="center"/>
      </w:pPr>
      <w:r>
        <w:rPr>
          <w:rFonts w:ascii="Arial" w:eastAsia="Arial" w:hAnsi="Arial" w:cs="Arial"/>
          <w:b/>
          <w:sz w:val="26"/>
          <w:u w:val="single" w:color="000000"/>
        </w:rPr>
        <w:t>Společná a závěrečn</w:t>
      </w:r>
      <w:r>
        <w:rPr>
          <w:rFonts w:ascii="Arial" w:eastAsia="Arial" w:hAnsi="Arial" w:cs="Arial"/>
          <w:b/>
          <w:sz w:val="26"/>
          <w:u w:val="single" w:color="000000"/>
        </w:rPr>
        <w:t>á ustanovení</w:t>
      </w:r>
      <w:r>
        <w:rPr>
          <w:rFonts w:ascii="Arial" w:eastAsia="Arial" w:hAnsi="Arial" w:cs="Arial"/>
          <w:b/>
          <w:sz w:val="26"/>
        </w:rPr>
        <w:t xml:space="preserve"> </w:t>
      </w:r>
    </w:p>
    <w:p w:rsidR="00163A86" w:rsidRDefault="005C6466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63A86" w:rsidRDefault="005C6466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63A86" w:rsidRDefault="005C6466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</w:rPr>
        <w:t>Pojistné za uvedené období 27.6.</w:t>
      </w:r>
      <w:proofErr w:type="gramStart"/>
      <w:r>
        <w:rPr>
          <w:rFonts w:ascii="Arial" w:eastAsia="Arial" w:hAnsi="Arial" w:cs="Arial"/>
        </w:rPr>
        <w:t xml:space="preserve">2025:   </w:t>
      </w:r>
      <w:proofErr w:type="gramEnd"/>
      <w:r>
        <w:rPr>
          <w:rFonts w:ascii="Arial" w:eastAsia="Arial" w:hAnsi="Arial" w:cs="Arial"/>
        </w:rPr>
        <w:t xml:space="preserve">  2.000,- Kč </w:t>
      </w:r>
    </w:p>
    <w:p w:rsidR="00163A86" w:rsidRDefault="005C6466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63A86" w:rsidRDefault="005C6466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</w:rPr>
        <w:t xml:space="preserve">Splatnost pojistného: 27.6. (den a měsíc běžného roku).  </w:t>
      </w:r>
    </w:p>
    <w:p w:rsidR="00163A86" w:rsidRDefault="005C6466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</w:rPr>
        <w:t xml:space="preserve">Případná odchylka pojistného je způsobena upřesněním výpočtu počítačovým zpracováním. </w:t>
      </w:r>
    </w:p>
    <w:p w:rsidR="00163A86" w:rsidRDefault="005C6466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63A86" w:rsidRDefault="005C6466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</w:rPr>
        <w:t xml:space="preserve">Tato smlouva obsahuje 2 listy </w:t>
      </w:r>
      <w:r>
        <w:rPr>
          <w:rFonts w:ascii="Arial" w:eastAsia="Arial" w:hAnsi="Arial" w:cs="Arial"/>
        </w:rPr>
        <w:t>a je na základě dohody smluvních stran vyhotovena v elektronické podobě ve formátu PDF, přičemž původ a integrita elektronického vyhotovení smlouvy, jakož i totožnost jednajících osob, jsou zaručeny elektronickými podpisy smluvních stran, resp. osob oprávn</w:t>
      </w:r>
      <w:r>
        <w:rPr>
          <w:rFonts w:ascii="Arial" w:eastAsia="Arial" w:hAnsi="Arial" w:cs="Arial"/>
        </w:rPr>
        <w:t xml:space="preserve">ěných za smluvní stranu tuto smlouvu uzavřít. Každá ze smluvních stran obdrží originál smlouvy v elektronické podobě. </w:t>
      </w:r>
    </w:p>
    <w:p w:rsidR="00163A86" w:rsidRDefault="005C6466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63A86" w:rsidRDefault="005C6466">
      <w:pPr>
        <w:pStyle w:val="Nadpis1"/>
        <w:ind w:left="194" w:hanging="209"/>
      </w:pPr>
      <w:r>
        <w:t xml:space="preserve">Praze, dne  </w:t>
      </w:r>
    </w:p>
    <w:p w:rsidR="00163A86" w:rsidRDefault="005C6466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63A86" w:rsidRDefault="005C6466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63A86" w:rsidRDefault="005C6466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63A86" w:rsidRDefault="005C6466">
      <w:pPr>
        <w:tabs>
          <w:tab w:val="center" w:pos="6283"/>
        </w:tabs>
        <w:spacing w:after="2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........................................................................................... </w:t>
      </w:r>
    </w:p>
    <w:p w:rsidR="00163A86" w:rsidRDefault="005C6466">
      <w:pPr>
        <w:spacing w:after="3" w:line="265" w:lineRule="auto"/>
        <w:ind w:left="-15" w:right="457" w:firstLine="72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0"/>
        </w:rPr>
        <w:t>Ing. XXXXXXXXXXX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 Mgr. XXXXXXXXXXXXX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Pojištění korporátního   </w:t>
      </w:r>
      <w:r>
        <w:rPr>
          <w:rFonts w:ascii="Arial" w:eastAsia="Arial" w:hAnsi="Arial" w:cs="Arial"/>
          <w:sz w:val="20"/>
        </w:rPr>
        <w:tab/>
      </w:r>
      <w:proofErr w:type="gramStart"/>
      <w:r>
        <w:rPr>
          <w:rFonts w:ascii="Arial" w:eastAsia="Arial" w:hAnsi="Arial" w:cs="Arial"/>
          <w:sz w:val="20"/>
        </w:rPr>
        <w:tab/>
        <w:t xml:space="preserve">  </w:t>
      </w:r>
      <w:r>
        <w:rPr>
          <w:rFonts w:ascii="Arial" w:eastAsia="Arial" w:hAnsi="Arial" w:cs="Arial"/>
          <w:sz w:val="20"/>
        </w:rPr>
        <w:t>Pojištění</w:t>
      </w:r>
      <w:proofErr w:type="gramEnd"/>
      <w:r>
        <w:rPr>
          <w:rFonts w:ascii="Arial" w:eastAsia="Arial" w:hAnsi="Arial" w:cs="Arial"/>
          <w:sz w:val="20"/>
        </w:rPr>
        <w:t xml:space="preserve"> korporátního  </w:t>
      </w:r>
    </w:p>
    <w:p w:rsidR="00163A86" w:rsidRDefault="005C6466">
      <w:pPr>
        <w:tabs>
          <w:tab w:val="center" w:pos="5099"/>
        </w:tabs>
        <w:spacing w:after="3" w:line="265" w:lineRule="auto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                                                       majetku a technických rizik              majetku a technických rizik  </w:t>
      </w:r>
    </w:p>
    <w:p w:rsidR="00163A86" w:rsidRDefault="005C6466">
      <w:pPr>
        <w:spacing w:after="8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163A86" w:rsidRDefault="005C6466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163A86" w:rsidRDefault="005C6466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163A86" w:rsidRDefault="005C6466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163A86" w:rsidRDefault="005C6466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163A86" w:rsidRDefault="005C6466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163A86" w:rsidRDefault="005C6466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163A86" w:rsidRDefault="005C6466">
      <w:pPr>
        <w:tabs>
          <w:tab w:val="center" w:pos="4321"/>
          <w:tab w:val="center" w:pos="6905"/>
        </w:tabs>
        <w:spacing w:after="2"/>
        <w:ind w:left="-15"/>
      </w:pPr>
      <w:proofErr w:type="gramStart"/>
      <w:r>
        <w:rPr>
          <w:rFonts w:ascii="Arial" w:eastAsia="Arial" w:hAnsi="Arial" w:cs="Arial"/>
        </w:rPr>
        <w:t>V .Praze</w:t>
      </w:r>
      <w:proofErr w:type="gramEnd"/>
      <w:r>
        <w:rPr>
          <w:rFonts w:ascii="Arial" w:eastAsia="Arial" w:hAnsi="Arial" w:cs="Arial"/>
        </w:rPr>
        <w:t>......, dne ..27.6.2025</w:t>
      </w:r>
      <w:bookmarkStart w:id="0" w:name="_GoBack"/>
      <w:bookmarkEnd w:id="0"/>
      <w:r>
        <w:rPr>
          <w:rFonts w:ascii="Arial" w:eastAsia="Arial" w:hAnsi="Arial" w:cs="Arial"/>
        </w:rPr>
        <w:t xml:space="preserve">.......    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>..............</w:t>
      </w:r>
      <w:proofErr w:type="gramStart"/>
      <w:r>
        <w:rPr>
          <w:rFonts w:ascii="Arial" w:eastAsia="Arial" w:hAnsi="Arial" w:cs="Arial"/>
        </w:rPr>
        <w:t>Prof.</w:t>
      </w:r>
      <w:proofErr w:type="gramEnd"/>
      <w:r>
        <w:rPr>
          <w:rFonts w:ascii="Arial" w:eastAsia="Arial" w:hAnsi="Arial" w:cs="Arial"/>
        </w:rPr>
        <w:t xml:space="preserve"> Mgr. Petr </w:t>
      </w:r>
      <w:proofErr w:type="spellStart"/>
      <w:r>
        <w:rPr>
          <w:rFonts w:ascii="Arial" w:eastAsia="Arial" w:hAnsi="Arial" w:cs="Arial"/>
        </w:rPr>
        <w:t>Páta</w:t>
      </w:r>
      <w:proofErr w:type="spellEnd"/>
      <w:r>
        <w:rPr>
          <w:rFonts w:ascii="Arial" w:eastAsia="Arial" w:hAnsi="Arial" w:cs="Arial"/>
        </w:rPr>
        <w:t>, Ph.D.</w:t>
      </w:r>
      <w:r>
        <w:rPr>
          <w:rFonts w:ascii="Arial" w:eastAsia="Arial" w:hAnsi="Arial" w:cs="Arial"/>
        </w:rPr>
        <w:t xml:space="preserve">....................... </w:t>
      </w:r>
    </w:p>
    <w:p w:rsidR="00163A86" w:rsidRDefault="005C6466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582"/>
        </w:tabs>
        <w:spacing w:after="5" w:line="249" w:lineRule="auto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podpis pojistníka </w:t>
      </w:r>
    </w:p>
    <w:p w:rsidR="00163A86" w:rsidRDefault="005C6466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163A86" w:rsidRDefault="005C6466">
      <w:pPr>
        <w:spacing w:after="2"/>
        <w:ind w:left="-5" w:hanging="10"/>
      </w:pPr>
      <w:r>
        <w:rPr>
          <w:rFonts w:ascii="Arial" w:eastAsia="Arial" w:hAnsi="Arial" w:cs="Arial"/>
          <w:b/>
        </w:rPr>
        <w:t xml:space="preserve">Pojištěno prostřednictvím: </w:t>
      </w:r>
      <w:proofErr w:type="spellStart"/>
      <w:r>
        <w:rPr>
          <w:rFonts w:ascii="Arial" w:eastAsia="Arial" w:hAnsi="Arial" w:cs="Arial"/>
        </w:rPr>
        <w:t>Aon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Central</w:t>
      </w:r>
      <w:proofErr w:type="spellEnd"/>
      <w:r>
        <w:rPr>
          <w:rFonts w:ascii="Arial" w:eastAsia="Arial" w:hAnsi="Arial" w:cs="Arial"/>
        </w:rPr>
        <w:t xml:space="preserve"> and </w:t>
      </w:r>
      <w:proofErr w:type="spellStart"/>
      <w:r>
        <w:rPr>
          <w:rFonts w:ascii="Arial" w:eastAsia="Arial" w:hAnsi="Arial" w:cs="Arial"/>
        </w:rPr>
        <w:t>Eastern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Europe</w:t>
      </w:r>
      <w:proofErr w:type="spellEnd"/>
      <w:r>
        <w:rPr>
          <w:rFonts w:ascii="Arial" w:eastAsia="Arial" w:hAnsi="Arial" w:cs="Arial"/>
        </w:rPr>
        <w:t xml:space="preserve"> a.s.</w:t>
      </w:r>
      <w:r>
        <w:rPr>
          <w:rFonts w:ascii="Arial" w:eastAsia="Arial" w:hAnsi="Arial" w:cs="Arial"/>
          <w:b/>
        </w:rPr>
        <w:t xml:space="preserve"> </w:t>
      </w:r>
    </w:p>
    <w:p w:rsidR="00163A86" w:rsidRDefault="005C6466">
      <w:pPr>
        <w:tabs>
          <w:tab w:val="center" w:pos="2512"/>
        </w:tabs>
        <w:spacing w:after="5" w:line="249" w:lineRule="auto"/>
        <w:ind w:left="-15"/>
      </w:pPr>
      <w:r>
        <w:rPr>
          <w:rFonts w:ascii="Arial" w:eastAsia="Arial" w:hAnsi="Arial" w:cs="Arial"/>
          <w:b/>
        </w:rPr>
        <w:t xml:space="preserve">Zpracoval: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Ing. </w:t>
      </w:r>
      <w:proofErr w:type="spellStart"/>
      <w:r>
        <w:rPr>
          <w:rFonts w:ascii="Arial" w:eastAsia="Arial" w:hAnsi="Arial" w:cs="Arial"/>
        </w:rPr>
        <w:t>xxxxxxxxxxxxxxxx</w:t>
      </w:r>
      <w:proofErr w:type="spellEnd"/>
      <w:r>
        <w:rPr>
          <w:rFonts w:ascii="Arial" w:eastAsia="Arial" w:hAnsi="Arial" w:cs="Arial"/>
        </w:rPr>
        <w:t xml:space="preserve"> </w:t>
      </w:r>
    </w:p>
    <w:p w:rsidR="00163A86" w:rsidRDefault="005C6466">
      <w:pPr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163A86" w:rsidRDefault="005C6466">
      <w:pPr>
        <w:spacing w:after="36"/>
      </w:pPr>
      <w:r>
        <w:rPr>
          <w:rFonts w:ascii="Arial" w:eastAsia="Arial" w:hAnsi="Arial" w:cs="Arial"/>
        </w:rPr>
        <w:t xml:space="preserve"> </w:t>
      </w:r>
    </w:p>
    <w:p w:rsidR="00163A86" w:rsidRDefault="005C6466">
      <w:pPr>
        <w:spacing w:after="0"/>
        <w:ind w:left="77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163A86" w:rsidRDefault="005C6466">
      <w:pPr>
        <w:spacing w:after="0"/>
        <w:ind w:left="77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163A86" w:rsidRDefault="005C6466">
      <w:pPr>
        <w:spacing w:after="0"/>
        <w:ind w:left="77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163A86" w:rsidRDefault="005C6466">
      <w:pPr>
        <w:spacing w:after="0"/>
        <w:ind w:left="77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163A86" w:rsidRDefault="005C6466">
      <w:pPr>
        <w:spacing w:after="0"/>
        <w:ind w:left="77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163A86" w:rsidRDefault="005C6466">
      <w:pPr>
        <w:spacing w:after="0"/>
        <w:ind w:left="77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163A86" w:rsidRDefault="005C6466">
      <w:pPr>
        <w:spacing w:after="0"/>
        <w:ind w:left="77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163A86" w:rsidRDefault="005C6466">
      <w:pPr>
        <w:spacing w:after="794"/>
        <w:ind w:left="77"/>
        <w:jc w:val="center"/>
      </w:pPr>
      <w:r>
        <w:rPr>
          <w:rFonts w:ascii="Arial" w:eastAsia="Arial" w:hAnsi="Arial" w:cs="Arial"/>
          <w:sz w:val="28"/>
        </w:rPr>
        <w:lastRenderedPageBreak/>
        <w:t xml:space="preserve"> </w:t>
      </w:r>
    </w:p>
    <w:p w:rsidR="00163A86" w:rsidRDefault="005C6466">
      <w:pPr>
        <w:spacing w:after="350"/>
        <w:ind w:left="11" w:hanging="10"/>
        <w:jc w:val="center"/>
      </w:pPr>
      <w:r>
        <w:rPr>
          <w:rFonts w:ascii="Arial" w:eastAsia="Arial" w:hAnsi="Arial" w:cs="Arial"/>
        </w:rPr>
        <w:t xml:space="preserve">Strana 2 (celkem 2) </w:t>
      </w:r>
    </w:p>
    <w:sectPr w:rsidR="00163A86">
      <w:pgSz w:w="11911" w:h="16831"/>
      <w:pgMar w:top="1798" w:right="847" w:bottom="1069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210C5"/>
    <w:multiLevelType w:val="hybridMultilevel"/>
    <w:tmpl w:val="FC18C380"/>
    <w:lvl w:ilvl="0" w:tplc="817E4F5E">
      <w:start w:val="5"/>
      <w:numFmt w:val="upperRoman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92A5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96A2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EC3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CC45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2A6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0E2A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306C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5E06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A86"/>
    <w:rsid w:val="00163A86"/>
    <w:rsid w:val="005C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87B1"/>
  <w15:docId w15:val="{DE92E160-C727-480F-A3AA-38487C68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2"/>
      <w:ind w:left="10" w:hanging="10"/>
      <w:outlineLvl w:val="0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POJISTNÁ SMLOUVA</vt:lpstr>
    </vt:vector>
  </TitlesOfParts>
  <Company>ČVUT v Praze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POJISTNÁ SMLOUVA</dc:title>
  <dc:subject/>
  <dc:creator>CRP</dc:creator>
  <cp:keywords/>
  <cp:lastModifiedBy>Musil, Tomas</cp:lastModifiedBy>
  <cp:revision>2</cp:revision>
  <dcterms:created xsi:type="dcterms:W3CDTF">2025-07-02T12:58:00Z</dcterms:created>
  <dcterms:modified xsi:type="dcterms:W3CDTF">2025-07-02T12:58:00Z</dcterms:modified>
</cp:coreProperties>
</file>