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Smlouva o poskytování 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Základní škola, Ostrava-Poruba, J. Valčíka 4411, příspěvková organizace, IČ: 64627918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se sídlem  Josefa Valčíka 4411/2, 70800, Ostrava-Poruba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zastoupená: Mgr. Miroslavem Bučánkem, ředitelem školy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číslo účtu: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0"/>
          <w:szCs w:val="20"/>
          <w:shd w:fill="auto" w:val="clear"/>
          <w:rtl w:val="0"/>
        </w:rPr>
        <w:t xml:space="preserve">59045/5500</w:t>
      </w: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 Raiffeisen bank a.s.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Calibri" w:cs="Calibri" w:eastAsia="Calibri" w:hAnsi="Calibri"/>
          <w:sz w:val="20"/>
          <w:szCs w:val="2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Zapsaná v obchodním rejstříku vedeném Krajským soudem v Ostravě,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0"/>
          <w:szCs w:val="20"/>
          <w:shd w:fill="auto" w:val="clear"/>
          <w:rtl w:val="0"/>
        </w:rPr>
        <w:t xml:space="preserve">Pr 636/KSOS</w:t>
      </w:r>
      <w:r w:rsidDel="00000000" w:rsidR="00000000" w:rsidRPr="00000000">
        <w:rPr>
          <w:rFonts w:ascii="Calibri" w:cs="Calibri" w:eastAsia="Calibri" w:hAnsi="Calibri"/>
          <w:sz w:val="20"/>
          <w:szCs w:val="20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straně jedné jako objednatel (dále jen „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objednatel</w:t>
      </w:r>
      <w:r w:rsidDel="00000000" w:rsidR="00000000" w:rsidRPr="00000000">
        <w:rPr>
          <w:sz w:val="20"/>
          <w:szCs w:val="20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UNIVERSUM spol. s r.o., IČ: 00535567</w:t>
      </w:r>
      <w:r w:rsidDel="00000000" w:rsidR="00000000" w:rsidRPr="00000000">
        <w:rPr>
          <w:sz w:val="20"/>
          <w:szCs w:val="20"/>
          <w:rtl w:val="0"/>
        </w:rPr>
        <w:t xml:space="preserve">, se sídlem Skalice 79, 738 01 Frýdek-Místek, zastoupená Mgr. Zbyňkem Vašinkou, jednatelem, číslo účtu: 51549781/2010 Fio banka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Zapsaná v obchodním rejstříku vedeném Krajským soudem v Ostravě, Spisová značka C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straně druhé jako poskytovatel (dále jen „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poskytovatel</w:t>
      </w:r>
      <w:r w:rsidDel="00000000" w:rsidR="00000000" w:rsidRPr="00000000">
        <w:rPr>
          <w:sz w:val="20"/>
          <w:szCs w:val="20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(objednatel a poskytovatel dále společně též jako „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smluvní strany</w:t>
      </w:r>
      <w:r w:rsidDel="00000000" w:rsidR="00000000" w:rsidRPr="00000000">
        <w:rPr>
          <w:sz w:val="20"/>
          <w:szCs w:val="20"/>
          <w:rtl w:val="0"/>
        </w:rPr>
        <w:t xml:space="preserve">“) uzavírají ve smyslu ust. § 1746 odst. 2 zákona č. 89/2012 Sb., občanský zákoník, v účinném znění (dále jen „občanský zákoník“), tuto smlouvu o poskytování služeb (dále jen „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Smlouva</w:t>
      </w:r>
      <w:r w:rsidDel="00000000" w:rsidR="00000000" w:rsidRPr="00000000">
        <w:rPr>
          <w:b w:val="1"/>
          <w:sz w:val="20"/>
          <w:szCs w:val="20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smlouvy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této smlouvy je závazek Poskytovatele v rozsahu a za podmínek stanovených touto smlouvou poskytnout Objednateli spisové služby, a to: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vstupní audit chodu spisové služby,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úklid elektronické spisové služby,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skartační řízení (kompletní – digitální i fyzické),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uspořádání spisovny,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proškolení zaměstnanců v práci se spisovou službou,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sledování legislativních změn a jejich zapracování do chodu organizace,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komunikace s místně příslušným archivem,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tvorba spisového a skartačního plánu a řádu,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vzdálená Podpora (včetně hotline) v rozsahu 2 volných hodin měsíčně,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čtvrtletní konzultace s náhledem a korekce chodu spisové služby</w:t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(dále jen „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služby</w:t>
      </w:r>
      <w:r w:rsidDel="00000000" w:rsidR="00000000" w:rsidRPr="00000000">
        <w:rPr>
          <w:sz w:val="20"/>
          <w:szCs w:val="20"/>
          <w:rtl w:val="0"/>
        </w:rPr>
        <w:t xml:space="preserve">“).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Služby poskytované Poskytovatelem musí být v souladu s legislativou České republiky, a to zejména se zákonem č. 499/2004 Sb., o archivnictví a spisové službě a o změně některých zákonů, ve znění pozdějších předpisů, a 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se touto Smlouvou zavazuje poskytnout Poskytovateli nezbytnou součinnost při poskytování Služeb v rozsahu stanoveném touto Smlouvou.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se zavazuje zaplatit Poskytovateli dohodnutou cenu za poskytnuté Služby, a to ve výši a za podmínek touto Smlouvou dále stanovených.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Poskytovatel prohlašuje, že je odborně způsobilý k poskytnutí Služeb v této Smlouvy.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4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Místo a způsob plnění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Služby uvedené v článku I. této Smlouvy budou Poskytovatelem poskytovány on-line, a pokud některá z požadovaných služeb nebude tento způsob plnění umožňovat, Poskytovatel službu poskytne v prostorách v sídle Objednatele, nebude-li Smluvními stranami dohodnuto jinak.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Plnění dle článku I. této Smlouvy bude realizováno na základě požadavků Objednatele předaných Poskytovateli, obsahujících specifikaci požadované služby, a to ve lhůtě dohodnuté mezi Objednatelem a Poskytovatelem se zohledněním zájmů Objednatele a se zohledněním odhadu nezbytného počtu hodin nutného pro řádné splnění požadavku Poskytovatelem.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4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a fakturace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se zavazuje Poskytovateli hradit Služby poskytnuté Poskytovatelem na základě této Smlouvy paušálně vždy za jeden kalendářní měsíc, a to ve výši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7.000,- 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 cenu za poskytnuté Služby za jeden kalendářní měsíc bude Poskytovatel vyúčtovávat Objednateli daňovým dokladem – fakturou, jež je splatná ve lhůtě 14 dnů od jejího vystavení. Zaplacením faktury se rozumí připsání příslušné částky na bankovní účet Poskytovatel, kterým je účet číslo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51549781/2010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výslovně souhlasí s uveřejněním celého textu této smlouvy, a to včetně všech případných příloh a dodatků, v centrálním registru smluv, zřízeném dle zákona číslo 340/2015 Sb., zákon o registru smluv, je-li povinnost tuto smlouvu uveřejnit dána tímto zákonem. Registr smluv je trvale veřejně přístupný a obsahuje údaje zejména o smluvních stranách, předmětu smlouvy, číselném označení smlouvy a o datu podpisu smlouvy. Smluvní strany dále prohlašují, že skutečnosti uvedené v této smlouvě nepovažují za obchodní tajemství ve smyslu příslušných ustanovení právních předpisů a udělují souhlas k jejich užití a zveřejnění bez stanovení dalších podmínek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Smlouva nabývá platnosti a účinnosti dnem zveřejnění v centrálním registru smluv.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07.0000000000000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Doba plnění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se uzavírá na dobu určitou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jednoho kalendářního roku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ode dne účinnosti této smlouvy.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4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je vyhotovena ve dvou shodných stejnopisech, z nichž každý má stejnou platnost, právní sílu a povahu originálu.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může být měněna, nebo doplňována, pouze vzestupně číslovanými písemnými dodatky podepsanými oběma Smluvními stranami.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Ostravě dne 4. 7.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720"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 objednatele                                                 </w:t>
        <w:tab/>
        <w:tab/>
        <w:t xml:space="preserve">       </w:t>
        <w:tab/>
        <w:tab/>
        <w:t xml:space="preserve">za poskytovatele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before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Mgr. Miroslav Bučánek, ředitel školy</w:t>
        <w:tab/>
        <w:tab/>
        <w:t xml:space="preserve">           </w:t>
        <w:tab/>
        <w:tab/>
        <w:t xml:space="preserve">Mgr. Zbyněk Vašinka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6645910" cy="692785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692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/>
      <w:drawing>
        <wp:inline distB="0" distT="0" distL="0" distR="0">
          <wp:extent cx="6645910" cy="692785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692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tabs>
        <w:tab w:val="center" w:leader="none" w:pos="4536"/>
        <w:tab w:val="right" w:leader="none" w:pos="9072"/>
      </w:tabs>
      <w:spacing w:after="0" w:before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80" cy="1069452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80" cy="10694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1095375</wp:posOffset>
          </wp:positionH>
          <wp:positionV relativeFrom="page">
            <wp:posOffset>752475</wp:posOffset>
          </wp:positionV>
          <wp:extent cx="10652760" cy="9417600"/>
          <wp:effectExtent b="0" l="0" r="0" t="0"/>
          <wp:wrapNone/>
          <wp:docPr descr="Obsah obrázku černá, tma&#10;&#10;Popis byl vytvořen automaticky" id="4" name="image4.png"/>
          <a:graphic>
            <a:graphicData uri="http://schemas.openxmlformats.org/drawingml/2006/picture">
              <pic:pic>
                <pic:nvPicPr>
                  <pic:cNvPr descr="Obsah obrázku černá, tma&#10;&#10;Popis byl vytvořen automaticky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2760" cy="9417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0" distT="0" distL="0" distR="0">
          <wp:extent cx="2387600" cy="53784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7600" cy="537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536"/>
        <w:tab w:val="right" w:leader="none" w:pos="9072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1095375</wp:posOffset>
          </wp:positionH>
          <wp:positionV relativeFrom="page">
            <wp:posOffset>752475</wp:posOffset>
          </wp:positionV>
          <wp:extent cx="10652760" cy="9417600"/>
          <wp:effectExtent b="0" l="0" r="0" t="0"/>
          <wp:wrapNone/>
          <wp:docPr descr="Obsah obrázku černá, tma&#10;&#10;Popis byl vytvořen automaticky" id="2" name="image4.png"/>
          <a:graphic>
            <a:graphicData uri="http://schemas.openxmlformats.org/drawingml/2006/picture">
              <pic:pic>
                <pic:nvPicPr>
                  <pic:cNvPr descr="Obsah obrázku černá, tma&#10;&#10;Popis byl vytvořen automaticky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52760" cy="9417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inline distB="0" distT="0" distL="0" distR="0">
          <wp:extent cx="2387600" cy="537845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7600" cy="537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080" w:hanging="72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080" w:hanging="72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Source Sans Pro" w:cs="Source Sans Pro" w:eastAsia="Source Sans Pro" w:hAnsi="Source Sans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