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66FF4811" w14:textId="711C8DFE" w:rsidR="00575AA1" w:rsidRPr="00F0130C" w:rsidRDefault="00BA68C6" w:rsidP="00BA68C6">
      <w:pPr>
        <w:jc w:val="center"/>
        <w:rPr>
          <w:rFonts w:asciiTheme="minorHAnsi" w:hAnsiTheme="minorHAnsi" w:cstheme="minorHAnsi"/>
        </w:rPr>
      </w:pPr>
      <w:r w:rsidRPr="00F0130C">
        <w:rPr>
          <w:rFonts w:asciiTheme="minorHAnsi" w:hAnsiTheme="minorHAnsi" w:cstheme="minorHAnsi"/>
        </w:rPr>
        <w:t xml:space="preserve">č.: </w:t>
      </w:r>
      <w:r w:rsidR="00F0130C" w:rsidRPr="00F0130C">
        <w:rPr>
          <w:rFonts w:asciiTheme="minorHAnsi" w:hAnsiTheme="minorHAnsi" w:cstheme="minorHAnsi"/>
        </w:rPr>
        <w:t>S-25/14798425/2025</w:t>
      </w:r>
    </w:p>
    <w:p w14:paraId="5D91AF3E" w14:textId="77777777" w:rsidR="00BA68C6" w:rsidRPr="00BA68C6" w:rsidRDefault="00BA68C6" w:rsidP="00BA68C6">
      <w:pPr>
        <w:jc w:val="center"/>
        <w:rPr>
          <w:rFonts w:asciiTheme="minorHAnsi" w:hAnsiTheme="minorHAnsi" w:cstheme="minorHAnsi"/>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27ED0C1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4BF53D32"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Zastoupený: </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654C495C" w14:textId="1A399084"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2D69DA44" w:rsidR="00036948" w:rsidRPr="00934656"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934656">
        <w:rPr>
          <w:rFonts w:asciiTheme="minorHAnsi" w:hAnsiTheme="minorHAnsi" w:cstheme="minorHAnsi"/>
          <w:b/>
          <w:sz w:val="22"/>
          <w:szCs w:val="22"/>
        </w:rPr>
        <w:t>ý</w:t>
      </w:r>
      <w:r w:rsidRPr="00934656">
        <w:rPr>
          <w:rFonts w:asciiTheme="minorHAnsi" w:hAnsiTheme="minorHAnsi" w:cstheme="minorHAnsi"/>
          <w:b/>
          <w:sz w:val="22"/>
          <w:szCs w:val="22"/>
        </w:rPr>
        <w:t xml:space="preserve">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14DA0941" w14:textId="77777777" w:rsidR="000A0E38" w:rsidRDefault="000A0E38" w:rsidP="00E605FC">
      <w:pPr>
        <w:autoSpaceDE/>
        <w:ind w:left="426"/>
        <w:jc w:val="both"/>
        <w:rPr>
          <w:rFonts w:asciiTheme="minorHAnsi" w:hAnsiTheme="minorHAnsi" w:cstheme="minorHAnsi"/>
          <w:sz w:val="22"/>
          <w:szCs w:val="22"/>
        </w:rPr>
      </w:pPr>
    </w:p>
    <w:p w14:paraId="562CC5AA" w14:textId="3B6EF33E" w:rsidR="00A95681" w:rsidRDefault="00B54C09" w:rsidP="00036948">
      <w:pPr>
        <w:autoSpaceDE/>
        <w:ind w:left="426"/>
        <w:jc w:val="both"/>
        <w:rPr>
          <w:rFonts w:asciiTheme="minorHAnsi" w:hAnsiTheme="minorHAnsi" w:cstheme="minorHAnsi"/>
          <w:b/>
          <w:sz w:val="22"/>
          <w:szCs w:val="22"/>
        </w:rPr>
      </w:pPr>
      <w:r>
        <w:rPr>
          <w:rFonts w:asciiTheme="minorHAnsi" w:hAnsiTheme="minorHAnsi" w:cstheme="minorHAnsi"/>
          <w:b/>
          <w:sz w:val="22"/>
          <w:szCs w:val="22"/>
        </w:rPr>
        <w:t>Krou</w:t>
      </w:r>
      <w:r w:rsidR="006D3974">
        <w:rPr>
          <w:rFonts w:asciiTheme="minorHAnsi" w:hAnsiTheme="minorHAnsi" w:cstheme="minorHAnsi"/>
          <w:b/>
          <w:sz w:val="22"/>
          <w:szCs w:val="22"/>
        </w:rPr>
        <w:t xml:space="preserve">hač zeleniny </w:t>
      </w:r>
      <w:proofErr w:type="spellStart"/>
      <w:r w:rsidR="006D3974">
        <w:rPr>
          <w:rFonts w:asciiTheme="minorHAnsi" w:hAnsiTheme="minorHAnsi" w:cstheme="minorHAnsi"/>
          <w:b/>
          <w:sz w:val="22"/>
          <w:szCs w:val="22"/>
        </w:rPr>
        <w:t>Hallde</w:t>
      </w:r>
      <w:proofErr w:type="spellEnd"/>
      <w:r w:rsidR="00FD5D48">
        <w:rPr>
          <w:rFonts w:asciiTheme="minorHAnsi" w:hAnsiTheme="minorHAnsi" w:cstheme="minorHAnsi"/>
          <w:b/>
          <w:sz w:val="22"/>
          <w:szCs w:val="22"/>
        </w:rPr>
        <w:t xml:space="preserve"> 1002 RG-100 / 230V, 1N, 50Hz</w:t>
      </w:r>
    </w:p>
    <w:p w14:paraId="5AD28B9C" w14:textId="77777777" w:rsidR="006E3193" w:rsidRDefault="006E3193" w:rsidP="00036948">
      <w:pPr>
        <w:autoSpaceDE/>
        <w:ind w:left="426"/>
        <w:jc w:val="both"/>
        <w:rPr>
          <w:rFonts w:asciiTheme="minorHAnsi" w:hAnsiTheme="minorHAnsi" w:cstheme="minorHAnsi"/>
          <w:b/>
          <w:sz w:val="22"/>
          <w:szCs w:val="22"/>
        </w:rPr>
      </w:pPr>
    </w:p>
    <w:p w14:paraId="7F244CCE" w14:textId="440795CF" w:rsidR="006E3193" w:rsidRPr="006E3193" w:rsidRDefault="00FC6F1B" w:rsidP="006E3193">
      <w:pPr>
        <w:autoSpaceDE/>
        <w:ind w:left="426"/>
        <w:jc w:val="both"/>
        <w:rPr>
          <w:rFonts w:asciiTheme="minorHAnsi" w:hAnsiTheme="minorHAnsi" w:cstheme="minorHAnsi"/>
          <w:b/>
          <w:sz w:val="22"/>
          <w:szCs w:val="22"/>
        </w:rPr>
      </w:pPr>
      <w:r>
        <w:rPr>
          <w:rFonts w:asciiTheme="minorHAnsi" w:hAnsiTheme="minorHAnsi" w:cstheme="minorHAnsi"/>
          <w:b/>
          <w:sz w:val="22"/>
          <w:szCs w:val="22"/>
        </w:rPr>
        <w:t>Sada 7 disků</w:t>
      </w:r>
      <w:r w:rsidR="006E3193">
        <w:rPr>
          <w:rFonts w:asciiTheme="minorHAnsi" w:hAnsiTheme="minorHAnsi" w:cstheme="minorHAnsi"/>
          <w:b/>
          <w:sz w:val="22"/>
          <w:szCs w:val="22"/>
        </w:rPr>
        <w:t xml:space="preserve">: </w:t>
      </w:r>
      <w:r w:rsidR="006E3193" w:rsidRPr="006E3193">
        <w:rPr>
          <w:rFonts w:asciiTheme="minorHAnsi" w:hAnsiTheme="minorHAnsi" w:cstheme="minorHAnsi"/>
          <w:b/>
          <w:bCs/>
          <w:sz w:val="22"/>
          <w:szCs w:val="22"/>
        </w:rPr>
        <w:t>Plátkovač 1,5 mm, plátkovač 4 mm, plátkovač 10 mm, strouhač 2 mm, strouhač 8 mm, mřížka 10x10 mm a kráječ nudliček 4x4 mm</w:t>
      </w:r>
    </w:p>
    <w:p w14:paraId="1A32D548" w14:textId="54169CD7" w:rsidR="00FD5D48" w:rsidRDefault="00FC6F1B" w:rsidP="00036948">
      <w:pPr>
        <w:autoSpaceDE/>
        <w:ind w:left="426"/>
        <w:jc w:val="both"/>
        <w:rPr>
          <w:rFonts w:asciiTheme="minorHAnsi" w:hAnsiTheme="minorHAnsi" w:cstheme="minorHAnsi"/>
          <w:b/>
          <w:sz w:val="22"/>
          <w:szCs w:val="22"/>
        </w:rPr>
      </w:pPr>
      <w:r>
        <w:rPr>
          <w:rFonts w:asciiTheme="minorHAnsi" w:hAnsiTheme="minorHAnsi" w:cstheme="minorHAnsi"/>
          <w:b/>
          <w:sz w:val="22"/>
          <w:szCs w:val="22"/>
        </w:rPr>
        <w:t>vč. držáku na stěnu</w:t>
      </w:r>
    </w:p>
    <w:p w14:paraId="78720135" w14:textId="77777777" w:rsidR="00665456" w:rsidRDefault="00665456" w:rsidP="00036948">
      <w:pPr>
        <w:autoSpaceDE/>
        <w:ind w:left="426"/>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54A18B27"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0A0E38">
        <w:rPr>
          <w:rFonts w:asciiTheme="minorHAnsi" w:hAnsiTheme="minorHAnsi" w:cstheme="minorHAnsi"/>
          <w:sz w:val="22"/>
          <w:szCs w:val="22"/>
        </w:rPr>
        <w:t>84.960</w:t>
      </w:r>
      <w:r w:rsidR="00B107D0" w:rsidRPr="008C0B83">
        <w:rPr>
          <w:rFonts w:asciiTheme="minorHAnsi" w:hAnsiTheme="minorHAnsi" w:cstheme="minorHAnsi"/>
          <w:sz w:val="22"/>
          <w:szCs w:val="22"/>
        </w:rPr>
        <w:t xml:space="preserve"> Kč bez DPH </w:t>
      </w:r>
    </w:p>
    <w:p w14:paraId="152F63F7" w14:textId="4E4CDE1B" w:rsidR="003C4E75" w:rsidRDefault="00B107D0" w:rsidP="003C4E75">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E458F3">
        <w:rPr>
          <w:rFonts w:asciiTheme="minorHAnsi" w:hAnsiTheme="minorHAnsi" w:cstheme="minorHAnsi"/>
          <w:sz w:val="22"/>
          <w:szCs w:val="22"/>
        </w:rPr>
        <w:t>17.841,60</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Kč. Cena celkem bude</w:t>
      </w:r>
      <w:r w:rsidR="00F303DF">
        <w:rPr>
          <w:rFonts w:asciiTheme="minorHAnsi" w:hAnsiTheme="minorHAnsi" w:cstheme="minorHAnsi"/>
          <w:sz w:val="22"/>
          <w:szCs w:val="22"/>
        </w:rPr>
        <w:t xml:space="preserve"> </w:t>
      </w:r>
    </w:p>
    <w:p w14:paraId="7C234416" w14:textId="10B8E838" w:rsidR="00380A33" w:rsidRPr="00F303DF" w:rsidRDefault="003C4E75" w:rsidP="003C4E75">
      <w:pPr>
        <w:rPr>
          <w:rFonts w:asciiTheme="minorHAnsi" w:hAnsiTheme="minorHAnsi" w:cstheme="minorHAnsi"/>
          <w:sz w:val="22"/>
          <w:szCs w:val="22"/>
        </w:rPr>
      </w:pPr>
      <w:r>
        <w:rPr>
          <w:rFonts w:asciiTheme="minorHAnsi" w:hAnsiTheme="minorHAnsi" w:cstheme="minorHAnsi"/>
          <w:sz w:val="22"/>
          <w:szCs w:val="22"/>
        </w:rPr>
        <w:t xml:space="preserve">        </w:t>
      </w:r>
      <w:r w:rsidR="003713CA">
        <w:rPr>
          <w:rFonts w:asciiTheme="minorHAnsi" w:hAnsiTheme="minorHAnsi" w:cstheme="minorHAnsi"/>
          <w:sz w:val="22"/>
          <w:szCs w:val="22"/>
        </w:rPr>
        <w:t>102.802</w:t>
      </w:r>
      <w:r w:rsidR="008C0B83" w:rsidRPr="008C0B83">
        <w:rPr>
          <w:rFonts w:asciiTheme="minorHAnsi" w:hAnsiTheme="minorHAnsi" w:cstheme="minorHAnsi"/>
          <w:sz w:val="22"/>
          <w:szCs w:val="22"/>
        </w:rPr>
        <w:t xml:space="preserve"> Kč vč. DPH</w:t>
      </w:r>
      <w:r w:rsidR="008C0B83">
        <w:rPr>
          <w:rFonts w:asciiTheme="minorHAnsi" w:hAnsiTheme="minorHAnsi" w:cstheme="minorHAnsi"/>
          <w:sz w:val="22"/>
          <w:szCs w:val="22"/>
        </w:rPr>
        <w:t>.</w:t>
      </w:r>
    </w:p>
    <w:p w14:paraId="49FD7E89" w14:textId="5C267B9C" w:rsid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321ECE5C" w14:textId="77777777" w:rsidR="001147C7" w:rsidRPr="006E6701" w:rsidRDefault="001147C7" w:rsidP="006E6701">
      <w:pPr>
        <w:jc w:val="both"/>
        <w:rPr>
          <w:rFonts w:asciiTheme="minorHAnsi" w:hAnsiTheme="minorHAnsi" w:cstheme="minorHAnsi"/>
          <w:b/>
          <w:sz w:val="22"/>
          <w:szCs w:val="22"/>
        </w:rPr>
      </w:pPr>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lastRenderedPageBreak/>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2BF1E2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73DB0" w:rsidRPr="00E73DB0">
        <w:rPr>
          <w:rFonts w:asciiTheme="minorHAnsi" w:hAnsiTheme="minorHAnsi" w:cstheme="minorHAnsi"/>
          <w:sz w:val="22"/>
          <w:szCs w:val="22"/>
        </w:rPr>
        <w:t>sladek@sosasou-vlasim.cz</w:t>
      </w:r>
    </w:p>
    <w:p w14:paraId="2D987E0E" w14:textId="2815BB83"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48105E">
        <w:rPr>
          <w:rFonts w:asciiTheme="minorHAnsi" w:hAnsiTheme="minorHAnsi" w:cstheme="minorHAnsi"/>
          <w:sz w:val="22"/>
          <w:szCs w:val="22"/>
        </w:rPr>
        <w:t>2</w:t>
      </w:r>
      <w:r w:rsidR="001B1FDB">
        <w:rPr>
          <w:rFonts w:asciiTheme="minorHAnsi" w:hAnsiTheme="minorHAnsi" w:cstheme="minorHAnsi"/>
          <w:sz w:val="22"/>
          <w:szCs w:val="22"/>
        </w:rPr>
        <w:t>1</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025F10F8" w14:textId="77777777" w:rsidR="000E162E" w:rsidRDefault="000E162E" w:rsidP="00934656">
      <w:pPr>
        <w:autoSpaceDE/>
        <w:ind w:left="360"/>
        <w:rPr>
          <w:rFonts w:asciiTheme="minorHAnsi" w:hAnsiTheme="minorHAnsi" w:cstheme="minorHAnsi"/>
          <w:sz w:val="22"/>
          <w:szCs w:val="22"/>
        </w:rPr>
      </w:pPr>
      <w:r>
        <w:rPr>
          <w:rFonts w:asciiTheme="minorHAnsi" w:hAnsiTheme="minorHAnsi" w:cstheme="minorHAnsi"/>
          <w:sz w:val="22"/>
          <w:szCs w:val="22"/>
        </w:rPr>
        <w:t xml:space="preserve"> </w:t>
      </w:r>
      <w:r w:rsidR="00554108">
        <w:rPr>
          <w:rFonts w:asciiTheme="minorHAnsi" w:hAnsiTheme="minorHAnsi" w:cstheme="minorHAnsi"/>
          <w:sz w:val="22"/>
          <w:szCs w:val="22"/>
        </w:rPr>
        <w:t xml:space="preserve">Smluvní </w:t>
      </w:r>
      <w:r w:rsidR="00554108" w:rsidRPr="00554108">
        <w:rPr>
          <w:rFonts w:asciiTheme="minorHAnsi" w:hAnsiTheme="minorHAnsi" w:cstheme="minorHAnsi"/>
          <w:sz w:val="22"/>
          <w:szCs w:val="22"/>
        </w:rPr>
        <w:t xml:space="preserve">strany sjednaly, že zboží bude </w:t>
      </w:r>
      <w:r w:rsidR="00554108" w:rsidRPr="00934656">
        <w:rPr>
          <w:rFonts w:asciiTheme="minorHAnsi" w:hAnsiTheme="minorHAnsi" w:cstheme="minorHAnsi"/>
          <w:sz w:val="22"/>
          <w:szCs w:val="22"/>
        </w:rPr>
        <w:t xml:space="preserve">dodáno do místa dodání, kterým je </w:t>
      </w:r>
      <w:r w:rsidR="004D0895" w:rsidRPr="004D0895">
        <w:rPr>
          <w:rFonts w:asciiTheme="minorHAnsi" w:hAnsiTheme="minorHAnsi" w:cstheme="minorHAnsi"/>
          <w:sz w:val="22"/>
          <w:szCs w:val="22"/>
        </w:rPr>
        <w:t xml:space="preserve">SOŠ A SOU Vlašim-odloučené </w:t>
      </w:r>
      <w:r>
        <w:rPr>
          <w:rFonts w:asciiTheme="minorHAnsi" w:hAnsiTheme="minorHAnsi" w:cstheme="minorHAnsi"/>
          <w:sz w:val="22"/>
          <w:szCs w:val="22"/>
        </w:rPr>
        <w:t xml:space="preserve">  </w:t>
      </w:r>
    </w:p>
    <w:p w14:paraId="74A5C22A" w14:textId="4FEA9224" w:rsidR="006E6701" w:rsidRPr="00934656" w:rsidRDefault="000E162E" w:rsidP="00934656">
      <w:pPr>
        <w:autoSpaceDE/>
        <w:ind w:left="360"/>
        <w:rPr>
          <w:rFonts w:asciiTheme="minorHAnsi" w:hAnsiTheme="minorHAnsi" w:cstheme="minorHAnsi"/>
          <w:b/>
          <w:sz w:val="22"/>
          <w:szCs w:val="22"/>
        </w:rPr>
      </w:pPr>
      <w:r>
        <w:rPr>
          <w:rFonts w:asciiTheme="minorHAnsi" w:hAnsiTheme="minorHAnsi" w:cstheme="minorHAnsi"/>
          <w:sz w:val="22"/>
          <w:szCs w:val="22"/>
        </w:rPr>
        <w:t xml:space="preserve"> </w:t>
      </w:r>
      <w:r w:rsidR="004D0895" w:rsidRPr="004D0895">
        <w:rPr>
          <w:rFonts w:asciiTheme="minorHAnsi" w:hAnsiTheme="minorHAnsi" w:cstheme="minorHAnsi"/>
          <w:sz w:val="22"/>
          <w:szCs w:val="22"/>
        </w:rPr>
        <w:t>pracoviště Tehov</w:t>
      </w:r>
      <w:r>
        <w:rPr>
          <w:rFonts w:asciiTheme="minorHAnsi" w:hAnsiTheme="minorHAnsi" w:cstheme="minorHAnsi"/>
          <w:sz w:val="22"/>
          <w:szCs w:val="22"/>
        </w:rPr>
        <w:t xml:space="preserve">, </w:t>
      </w:r>
      <w:r w:rsidR="00765BE3">
        <w:rPr>
          <w:rFonts w:asciiTheme="minorHAnsi" w:hAnsiTheme="minorHAnsi" w:cstheme="minorHAnsi"/>
          <w:sz w:val="22"/>
          <w:szCs w:val="22"/>
        </w:rPr>
        <w:t>Tehov 39</w:t>
      </w:r>
      <w:r>
        <w:rPr>
          <w:rFonts w:asciiTheme="minorHAnsi" w:hAnsiTheme="minorHAnsi" w:cstheme="minorHAnsi"/>
          <w:sz w:val="22"/>
          <w:szCs w:val="22"/>
        </w:rPr>
        <w:t>, 258 01 Vlašim.</w:t>
      </w: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87FE0BE" w:rsidR="006E6701" w:rsidRPr="00E605FC" w:rsidRDefault="00725B73" w:rsidP="00E605FC">
      <w:pPr>
        <w:pStyle w:val="Odstavecseseznamem"/>
        <w:numPr>
          <w:ilvl w:val="0"/>
          <w:numId w:val="3"/>
        </w:numPr>
        <w:autoSpaceDE/>
        <w:jc w:val="both"/>
        <w:rPr>
          <w:rFonts w:asciiTheme="minorHAnsi" w:hAnsiTheme="minorHAnsi" w:cstheme="minorHAnsi"/>
          <w:b/>
          <w:sz w:val="22"/>
          <w:szCs w:val="22"/>
        </w:rPr>
      </w:pPr>
      <w:r>
        <w:rPr>
          <w:rFonts w:asciiTheme="minorHAnsi" w:hAnsiTheme="minorHAnsi" w:cstheme="minorHAnsi"/>
          <w:b/>
          <w:sz w:val="22"/>
          <w:szCs w:val="22"/>
        </w:rPr>
        <w:t xml:space="preserve">  </w:t>
      </w:r>
      <w:r w:rsidR="006E6701"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lastRenderedPageBreak/>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67743E6C"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C7BBC">
        <w:rPr>
          <w:rFonts w:asciiTheme="minorHAnsi" w:hAnsiTheme="minorHAnsi" w:cstheme="minorHAnsi"/>
          <w:sz w:val="22"/>
          <w:szCs w:val="22"/>
        </w:rPr>
        <w:t xml:space="preserve">e Vlašimi dne </w:t>
      </w:r>
      <w:r w:rsidR="004C7BBC">
        <w:rPr>
          <w:rFonts w:asciiTheme="minorHAnsi" w:hAnsiTheme="minorHAnsi" w:cstheme="minorHAnsi"/>
          <w:sz w:val="22"/>
          <w:szCs w:val="22"/>
        </w:rPr>
        <w:tab/>
      </w:r>
      <w:r w:rsidR="001147C7">
        <w:rPr>
          <w:rFonts w:asciiTheme="minorHAnsi" w:hAnsiTheme="minorHAnsi" w:cstheme="minorHAnsi"/>
          <w:sz w:val="22"/>
          <w:szCs w:val="22"/>
        </w:rPr>
        <w:t>7.7.2025</w:t>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BC5146">
        <w:rPr>
          <w:rFonts w:asciiTheme="minorHAnsi" w:hAnsiTheme="minorHAnsi" w:cstheme="minorHAnsi"/>
          <w:sz w:val="22"/>
          <w:szCs w:val="22"/>
        </w:rPr>
        <w:tab/>
      </w:r>
      <w:r w:rsidR="004C7BBC" w:rsidRPr="00D233F5">
        <w:rPr>
          <w:rFonts w:asciiTheme="minorHAnsi" w:hAnsiTheme="minorHAnsi" w:cstheme="minorHAnsi"/>
          <w:sz w:val="22"/>
          <w:szCs w:val="22"/>
        </w:rPr>
        <w:t>V</w:t>
      </w:r>
      <w:r w:rsidR="002A660A">
        <w:rPr>
          <w:rFonts w:asciiTheme="minorHAnsi" w:hAnsiTheme="minorHAnsi" w:cstheme="minorHAnsi"/>
          <w:sz w:val="22"/>
          <w:szCs w:val="22"/>
        </w:rPr>
        <w:t> Louňovicích pod Blaníkem</w:t>
      </w:r>
      <w:r w:rsidR="004C7BBC">
        <w:rPr>
          <w:rFonts w:asciiTheme="minorHAnsi" w:hAnsiTheme="minorHAnsi" w:cstheme="minorHAnsi"/>
          <w:sz w:val="22"/>
          <w:szCs w:val="22"/>
        </w:rPr>
        <w:t xml:space="preserve"> dne </w:t>
      </w:r>
      <w:r w:rsidR="001147C7">
        <w:rPr>
          <w:rFonts w:asciiTheme="minorHAnsi" w:hAnsiTheme="minorHAnsi" w:cstheme="minorHAnsi"/>
          <w:sz w:val="22"/>
          <w:szCs w:val="22"/>
        </w:rPr>
        <w:t>7.7.2025</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11F4A87" w14:textId="77777777" w:rsidR="00D108B6" w:rsidRDefault="00D108B6" w:rsidP="00575AA1">
      <w:pPr>
        <w:jc w:val="both"/>
        <w:rPr>
          <w:rFonts w:asciiTheme="minorHAnsi" w:hAnsiTheme="minorHAnsi" w:cstheme="minorHAnsi"/>
          <w:sz w:val="22"/>
          <w:szCs w:val="22"/>
        </w:rPr>
      </w:pPr>
    </w:p>
    <w:p w14:paraId="587B0903" w14:textId="77777777" w:rsidR="00D108B6" w:rsidRDefault="00D108B6" w:rsidP="00575AA1">
      <w:pPr>
        <w:jc w:val="both"/>
        <w:rPr>
          <w:rFonts w:asciiTheme="minorHAnsi" w:hAnsiTheme="minorHAnsi" w:cstheme="minorHAnsi"/>
          <w:sz w:val="22"/>
          <w:szCs w:val="22"/>
        </w:rPr>
      </w:pPr>
    </w:p>
    <w:p w14:paraId="0315AE8E" w14:textId="77777777" w:rsidR="00D108B6" w:rsidRPr="00575AA1" w:rsidRDefault="00D108B6" w:rsidP="00575AA1">
      <w:pPr>
        <w:jc w:val="both"/>
        <w:rPr>
          <w:rFonts w:asciiTheme="minorHAnsi" w:hAnsiTheme="minorHAnsi" w:cstheme="minorHAnsi"/>
          <w:sz w:val="22"/>
          <w:szCs w:val="22"/>
        </w:rPr>
      </w:pPr>
    </w:p>
    <w:p w14:paraId="3EDB0B42" w14:textId="3EB670CF" w:rsidR="00575AA1" w:rsidRP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509D6297"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10262" w14:textId="35F8A37E"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Gastro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766F" w14:textId="77777777" w:rsidR="007422EF" w:rsidRDefault="007422EF">
      <w:r>
        <w:separator/>
      </w:r>
    </w:p>
  </w:endnote>
  <w:endnote w:type="continuationSeparator" w:id="0">
    <w:p w14:paraId="3A04AAAA" w14:textId="77777777" w:rsidR="007422EF" w:rsidRDefault="007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0D0"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392F"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FF78" w14:textId="7ABEEC5E"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00994D3B" w:rsidRPr="003250D1">
      <w:rPr>
        <w:rFonts w:ascii="Arial" w:hAnsi="Arial" w:cs="Arial"/>
        <w:color w:val="7F7F7F" w:themeColor="text1" w:themeTint="80"/>
        <w:sz w:val="16"/>
        <w:szCs w:val="16"/>
      </w:rPr>
      <w:t>Gastro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994D3B">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6F41C5">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8F9E" w14:textId="77777777" w:rsidR="007422EF" w:rsidRDefault="007422EF">
      <w:bookmarkStart w:id="0" w:name="_Hlk480110762"/>
      <w:bookmarkEnd w:id="0"/>
      <w:r>
        <w:separator/>
      </w:r>
    </w:p>
  </w:footnote>
  <w:footnote w:type="continuationSeparator" w:id="0">
    <w:p w14:paraId="608D1B6B" w14:textId="77777777" w:rsidR="007422EF" w:rsidRDefault="0074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06497">
    <w:abstractNumId w:val="6"/>
  </w:num>
  <w:num w:numId="2" w16cid:durableId="657460987">
    <w:abstractNumId w:val="1"/>
  </w:num>
  <w:num w:numId="3" w16cid:durableId="1940871517">
    <w:abstractNumId w:val="2"/>
  </w:num>
  <w:num w:numId="4" w16cid:durableId="1011908350">
    <w:abstractNumId w:val="7"/>
  </w:num>
  <w:num w:numId="5" w16cid:durableId="1457869754">
    <w:abstractNumId w:val="5"/>
  </w:num>
  <w:num w:numId="6" w16cid:durableId="1475558332">
    <w:abstractNumId w:val="4"/>
  </w:num>
  <w:num w:numId="7" w16cid:durableId="720516900">
    <w:abstractNumId w:val="0"/>
    <w:lvlOverride w:ilvl="0">
      <w:startOverride w:val="1"/>
    </w:lvlOverride>
  </w:num>
  <w:num w:numId="8" w16cid:durableId="113175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33FFE"/>
    <w:rsid w:val="00036948"/>
    <w:rsid w:val="000476BE"/>
    <w:rsid w:val="00054CEC"/>
    <w:rsid w:val="000623AF"/>
    <w:rsid w:val="000A0E38"/>
    <w:rsid w:val="000E0F51"/>
    <w:rsid w:val="000E162E"/>
    <w:rsid w:val="001147C7"/>
    <w:rsid w:val="001417D6"/>
    <w:rsid w:val="0014498D"/>
    <w:rsid w:val="00174E73"/>
    <w:rsid w:val="00182737"/>
    <w:rsid w:val="001B1FDB"/>
    <w:rsid w:val="001B7F35"/>
    <w:rsid w:val="001C199D"/>
    <w:rsid w:val="00203A9E"/>
    <w:rsid w:val="002317F4"/>
    <w:rsid w:val="002344D4"/>
    <w:rsid w:val="00254899"/>
    <w:rsid w:val="0029174B"/>
    <w:rsid w:val="002A660A"/>
    <w:rsid w:val="002F6C2C"/>
    <w:rsid w:val="003250D1"/>
    <w:rsid w:val="00355088"/>
    <w:rsid w:val="003713CA"/>
    <w:rsid w:val="00380A33"/>
    <w:rsid w:val="0038405C"/>
    <w:rsid w:val="00395980"/>
    <w:rsid w:val="003C4E75"/>
    <w:rsid w:val="003E3B00"/>
    <w:rsid w:val="0044717F"/>
    <w:rsid w:val="0046007D"/>
    <w:rsid w:val="004639D0"/>
    <w:rsid w:val="0048105E"/>
    <w:rsid w:val="004A7DBC"/>
    <w:rsid w:val="004C7BBC"/>
    <w:rsid w:val="004D0895"/>
    <w:rsid w:val="004D16D8"/>
    <w:rsid w:val="00517A7F"/>
    <w:rsid w:val="00554108"/>
    <w:rsid w:val="00575AA1"/>
    <w:rsid w:val="005903A8"/>
    <w:rsid w:val="005B3A44"/>
    <w:rsid w:val="00622A2A"/>
    <w:rsid w:val="00627EFE"/>
    <w:rsid w:val="00630FCF"/>
    <w:rsid w:val="00633B10"/>
    <w:rsid w:val="00665456"/>
    <w:rsid w:val="006D3974"/>
    <w:rsid w:val="006E3193"/>
    <w:rsid w:val="006E6701"/>
    <w:rsid w:val="006F41C5"/>
    <w:rsid w:val="00725B73"/>
    <w:rsid w:val="007422EF"/>
    <w:rsid w:val="007559A1"/>
    <w:rsid w:val="00765BE3"/>
    <w:rsid w:val="0078198E"/>
    <w:rsid w:val="0079703D"/>
    <w:rsid w:val="008033B2"/>
    <w:rsid w:val="0082753B"/>
    <w:rsid w:val="00831A10"/>
    <w:rsid w:val="00873E93"/>
    <w:rsid w:val="008C0B83"/>
    <w:rsid w:val="008D6278"/>
    <w:rsid w:val="008E5EA3"/>
    <w:rsid w:val="008F5D0B"/>
    <w:rsid w:val="008F6C94"/>
    <w:rsid w:val="008F764B"/>
    <w:rsid w:val="00934656"/>
    <w:rsid w:val="00945ED8"/>
    <w:rsid w:val="00972F2B"/>
    <w:rsid w:val="00974FCE"/>
    <w:rsid w:val="00994D3B"/>
    <w:rsid w:val="009F4E94"/>
    <w:rsid w:val="009F5F8A"/>
    <w:rsid w:val="00A6317B"/>
    <w:rsid w:val="00A656CC"/>
    <w:rsid w:val="00A95681"/>
    <w:rsid w:val="00AB4580"/>
    <w:rsid w:val="00B107D0"/>
    <w:rsid w:val="00B111EB"/>
    <w:rsid w:val="00B226F6"/>
    <w:rsid w:val="00B54C09"/>
    <w:rsid w:val="00B75579"/>
    <w:rsid w:val="00BA68C6"/>
    <w:rsid w:val="00BA7985"/>
    <w:rsid w:val="00BC5146"/>
    <w:rsid w:val="00BE02C3"/>
    <w:rsid w:val="00BE4F6C"/>
    <w:rsid w:val="00C91C18"/>
    <w:rsid w:val="00D071D0"/>
    <w:rsid w:val="00D108B6"/>
    <w:rsid w:val="00D233F5"/>
    <w:rsid w:val="00DD7352"/>
    <w:rsid w:val="00DE17AA"/>
    <w:rsid w:val="00DF6C89"/>
    <w:rsid w:val="00E0598D"/>
    <w:rsid w:val="00E15C66"/>
    <w:rsid w:val="00E32D97"/>
    <w:rsid w:val="00E43441"/>
    <w:rsid w:val="00E458F3"/>
    <w:rsid w:val="00E50074"/>
    <w:rsid w:val="00E605FC"/>
    <w:rsid w:val="00E73DB0"/>
    <w:rsid w:val="00EB594C"/>
    <w:rsid w:val="00EC3DC6"/>
    <w:rsid w:val="00EE7E01"/>
    <w:rsid w:val="00F00BAC"/>
    <w:rsid w:val="00F0130C"/>
    <w:rsid w:val="00F21949"/>
    <w:rsid w:val="00F303DF"/>
    <w:rsid w:val="00F314E9"/>
    <w:rsid w:val="00F71AD7"/>
    <w:rsid w:val="00F82E13"/>
    <w:rsid w:val="00FC2EC7"/>
    <w:rsid w:val="00FC4C01"/>
    <w:rsid w:val="00FC6F1B"/>
    <w:rsid w:val="00FD5D48"/>
    <w:rsid w:val="00FE5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2</TotalTime>
  <Pages>1</Pages>
  <Words>987</Words>
  <Characters>5824</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Sládek Jaroslav</cp:lastModifiedBy>
  <cp:revision>4</cp:revision>
  <cp:lastPrinted>2025-07-07T07:38:00Z</cp:lastPrinted>
  <dcterms:created xsi:type="dcterms:W3CDTF">2025-07-08T05:50:00Z</dcterms:created>
  <dcterms:modified xsi:type="dcterms:W3CDTF">2025-07-08T05:51:00Z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