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622" w:rsidRDefault="009600FD">
      <w:pPr>
        <w:pStyle w:val="Zkladntext1"/>
        <w:shd w:val="clear" w:color="auto" w:fill="auto"/>
        <w:spacing w:after="600" w:line="240" w:lineRule="auto"/>
      </w:pPr>
      <w:r>
        <w:t>Číslo smlouvy: P/07/2025</w:t>
      </w:r>
    </w:p>
    <w:p w:rsidR="00A63622" w:rsidRDefault="009600FD">
      <w:pPr>
        <w:pStyle w:val="Zkladntext1"/>
        <w:shd w:val="clear" w:color="auto" w:fill="auto"/>
        <w:spacing w:after="520" w:line="300" w:lineRule="auto"/>
        <w:jc w:val="center"/>
      </w:pPr>
      <w:r>
        <w:t>SMLOUVA O PŘIPOJENÍ K ROZVODU ELEKTRICKÉ ENERGIE A UŽITKOVÉ VODY</w:t>
      </w:r>
      <w:r>
        <w:br/>
        <w:t>uzavřená níže uvedeného dne, měsíce a roku dle zákona č. 89/2012 Sb., občanský zákoník</w:t>
      </w:r>
      <w:r>
        <w:br/>
        <w:t>(dále jen „smlouva“)</w:t>
      </w:r>
    </w:p>
    <w:p w:rsidR="00A63622" w:rsidRDefault="009600FD">
      <w:pPr>
        <w:pStyle w:val="Zkladntext1"/>
        <w:shd w:val="clear" w:color="auto" w:fill="auto"/>
        <w:spacing w:after="0"/>
      </w:pPr>
      <w:r>
        <w:t>Obchodní společnost SPORTOVNÍ AREÁLY MOST, a.s.</w:t>
      </w:r>
    </w:p>
    <w:p w:rsidR="00A63622" w:rsidRDefault="009600FD">
      <w:pPr>
        <w:pStyle w:val="Zkladntext1"/>
        <w:shd w:val="clear" w:color="auto" w:fill="auto"/>
        <w:tabs>
          <w:tab w:val="left" w:pos="2179"/>
        </w:tabs>
        <w:spacing w:after="0"/>
      </w:pPr>
      <w:r>
        <w:t>Sídlo:</w:t>
      </w:r>
      <w:r>
        <w:tab/>
        <w:t>tř. Budovatelů 112/7, 434 01 Most</w:t>
      </w:r>
    </w:p>
    <w:p w:rsidR="00A63622" w:rsidRDefault="009600FD">
      <w:pPr>
        <w:pStyle w:val="Zkladntext1"/>
        <w:shd w:val="clear" w:color="auto" w:fill="auto"/>
        <w:tabs>
          <w:tab w:val="left" w:pos="2179"/>
        </w:tabs>
        <w:spacing w:after="0"/>
      </w:pPr>
      <w:r>
        <w:t>IČO:</w:t>
      </w:r>
      <w:r>
        <w:tab/>
        <w:t>25044001</w:t>
      </w:r>
    </w:p>
    <w:p w:rsidR="00A63622" w:rsidRDefault="009600FD">
      <w:pPr>
        <w:pStyle w:val="Zkladntext1"/>
        <w:shd w:val="clear" w:color="auto" w:fill="auto"/>
        <w:tabs>
          <w:tab w:val="left" w:pos="2179"/>
        </w:tabs>
        <w:spacing w:after="0"/>
      </w:pPr>
      <w:r>
        <w:t>DIČ:</w:t>
      </w:r>
      <w:r>
        <w:tab/>
        <w:t>CZ25044001</w:t>
      </w:r>
    </w:p>
    <w:p w:rsidR="00A63622" w:rsidRDefault="009600FD">
      <w:pPr>
        <w:pStyle w:val="Zkladntext1"/>
        <w:shd w:val="clear" w:color="auto" w:fill="auto"/>
        <w:tabs>
          <w:tab w:val="left" w:pos="2179"/>
        </w:tabs>
        <w:spacing w:after="0"/>
      </w:pPr>
      <w:r>
        <w:t>Evidence:</w:t>
      </w:r>
      <w:r>
        <w:tab/>
        <w:t>OR vedený Krajským soudem v Ústí nad Labem, oddíl B, vložka 1147</w:t>
      </w:r>
    </w:p>
    <w:p w:rsidR="00A63622" w:rsidRDefault="009600FD">
      <w:pPr>
        <w:pStyle w:val="Zkladntext1"/>
        <w:shd w:val="clear" w:color="auto" w:fill="auto"/>
        <w:tabs>
          <w:tab w:val="left" w:pos="2179"/>
        </w:tabs>
        <w:spacing w:after="0"/>
      </w:pPr>
      <w:r>
        <w:t>Zástupce:</w:t>
      </w:r>
      <w:r>
        <w:tab/>
      </w:r>
      <w:proofErr w:type="spellStart"/>
      <w:r>
        <w:t>xxx</w:t>
      </w:r>
      <w:proofErr w:type="spellEnd"/>
      <w:r>
        <w:t>, předseda představenstva</w:t>
      </w:r>
    </w:p>
    <w:p w:rsidR="00A63622" w:rsidRDefault="009600FD">
      <w:pPr>
        <w:pStyle w:val="Zkladntext1"/>
        <w:shd w:val="clear" w:color="auto" w:fill="auto"/>
        <w:ind w:left="2280"/>
      </w:pPr>
      <w:proofErr w:type="spellStart"/>
      <w:r>
        <w:t>xxx</w:t>
      </w:r>
      <w:proofErr w:type="spellEnd"/>
      <w:r>
        <w:t>, místopředseda představenstva</w:t>
      </w:r>
    </w:p>
    <w:p w:rsidR="00A63622" w:rsidRDefault="009600FD">
      <w:pPr>
        <w:pStyle w:val="Zkladntext1"/>
        <w:shd w:val="clear" w:color="auto" w:fill="auto"/>
        <w:spacing w:line="254" w:lineRule="auto"/>
        <w:rPr>
          <w:sz w:val="22"/>
          <w:szCs w:val="22"/>
        </w:rPr>
      </w:pPr>
      <w:r>
        <w:rPr>
          <w:sz w:val="22"/>
          <w:szCs w:val="22"/>
        </w:rPr>
        <w:t>(dále jen „poskytovatel“)</w:t>
      </w:r>
    </w:p>
    <w:p w:rsidR="00A63622" w:rsidRDefault="009600FD">
      <w:pPr>
        <w:pStyle w:val="Zkladntext1"/>
        <w:shd w:val="clear" w:color="auto" w:fill="auto"/>
      </w:pPr>
      <w:r>
        <w:t>a</w:t>
      </w:r>
    </w:p>
    <w:p w:rsidR="00A63622" w:rsidRDefault="009600FD">
      <w:pPr>
        <w:pStyle w:val="Zkladntext1"/>
        <w:shd w:val="clear" w:color="auto" w:fill="auto"/>
        <w:spacing w:after="0"/>
      </w:pPr>
      <w:r>
        <w:t xml:space="preserve">Obchodní společnost </w:t>
      </w:r>
      <w:proofErr w:type="spellStart"/>
      <w:r>
        <w:t>HERKUL</w:t>
      </w:r>
      <w:proofErr w:type="spellEnd"/>
      <w:r>
        <w:t xml:space="preserve"> a.s.</w:t>
      </w:r>
    </w:p>
    <w:p w:rsidR="00A63622" w:rsidRDefault="009600FD">
      <w:pPr>
        <w:pStyle w:val="Zkladntext1"/>
        <w:shd w:val="clear" w:color="auto" w:fill="auto"/>
        <w:tabs>
          <w:tab w:val="left" w:pos="2179"/>
        </w:tabs>
        <w:spacing w:after="0"/>
      </w:pPr>
      <w:r>
        <w:t>Sídlo:</w:t>
      </w:r>
      <w:r>
        <w:tab/>
        <w:t>Průmyslová 228, 435 21 Obrnice</w:t>
      </w:r>
    </w:p>
    <w:p w:rsidR="00A63622" w:rsidRDefault="009600FD">
      <w:pPr>
        <w:pStyle w:val="Zkladntext1"/>
        <w:shd w:val="clear" w:color="auto" w:fill="auto"/>
        <w:tabs>
          <w:tab w:val="left" w:pos="2179"/>
        </w:tabs>
        <w:spacing w:after="0"/>
      </w:pPr>
      <w:r>
        <w:t>IČO:</w:t>
      </w:r>
      <w:r>
        <w:tab/>
        <w:t>250 04 638</w:t>
      </w:r>
    </w:p>
    <w:p w:rsidR="00A63622" w:rsidRDefault="009600FD">
      <w:pPr>
        <w:pStyle w:val="Zkladntext1"/>
        <w:shd w:val="clear" w:color="auto" w:fill="auto"/>
        <w:tabs>
          <w:tab w:val="left" w:pos="2179"/>
        </w:tabs>
        <w:spacing w:after="0"/>
      </w:pPr>
      <w:r>
        <w:t>DIČ:</w:t>
      </w:r>
      <w:r>
        <w:tab/>
        <w:t>CZ25004638</w:t>
      </w:r>
    </w:p>
    <w:p w:rsidR="00A63622" w:rsidRDefault="009600FD">
      <w:pPr>
        <w:pStyle w:val="Zkladntext1"/>
        <w:shd w:val="clear" w:color="auto" w:fill="auto"/>
        <w:tabs>
          <w:tab w:val="left" w:pos="2179"/>
        </w:tabs>
        <w:spacing w:after="0"/>
      </w:pPr>
      <w:r>
        <w:t>Evidence:</w:t>
      </w:r>
      <w:r>
        <w:tab/>
        <w:t xml:space="preserve">OR vedený Krajským soudem v Ústí nad Labem, </w:t>
      </w:r>
      <w:proofErr w:type="spellStart"/>
      <w:r>
        <w:t>sp</w:t>
      </w:r>
      <w:proofErr w:type="spellEnd"/>
      <w:r>
        <w:t>. zn. B 1820</w:t>
      </w:r>
    </w:p>
    <w:p w:rsidR="00A63622" w:rsidRDefault="009600FD">
      <w:pPr>
        <w:pStyle w:val="Zkladntext1"/>
        <w:shd w:val="clear" w:color="auto" w:fill="auto"/>
        <w:tabs>
          <w:tab w:val="left" w:pos="2179"/>
        </w:tabs>
        <w:spacing w:after="0"/>
      </w:pPr>
      <w:r>
        <w:t>Zástupce:</w:t>
      </w:r>
      <w:r>
        <w:tab/>
      </w:r>
      <w:proofErr w:type="spellStart"/>
      <w:r>
        <w:t>xxx</w:t>
      </w:r>
      <w:proofErr w:type="spellEnd"/>
      <w:r>
        <w:t>, předsedkyně představenstva</w:t>
      </w:r>
    </w:p>
    <w:p w:rsidR="00A63622" w:rsidRDefault="009600FD">
      <w:pPr>
        <w:pStyle w:val="Zkladntext1"/>
        <w:shd w:val="clear" w:color="auto" w:fill="auto"/>
        <w:spacing w:after="0"/>
        <w:ind w:left="2280"/>
      </w:pPr>
      <w:proofErr w:type="spellStart"/>
      <w:r>
        <w:t>xxx</w:t>
      </w:r>
      <w:proofErr w:type="spellEnd"/>
      <w:r>
        <w:t>, člen představenstva</w:t>
      </w:r>
    </w:p>
    <w:p w:rsidR="00A63622" w:rsidRDefault="009600FD">
      <w:pPr>
        <w:pStyle w:val="Zkladntext1"/>
        <w:shd w:val="clear" w:color="auto" w:fill="auto"/>
        <w:spacing w:line="254" w:lineRule="auto"/>
        <w:rPr>
          <w:sz w:val="22"/>
          <w:szCs w:val="22"/>
        </w:rPr>
      </w:pPr>
      <w:r>
        <w:rPr>
          <w:sz w:val="22"/>
          <w:szCs w:val="22"/>
        </w:rPr>
        <w:t>(dále jen „odběratel“)</w:t>
      </w:r>
    </w:p>
    <w:p w:rsidR="00A63622" w:rsidRDefault="009600FD">
      <w:pPr>
        <w:pStyle w:val="Zkladntext1"/>
        <w:shd w:val="clear" w:color="auto" w:fill="auto"/>
        <w:spacing w:after="520" w:line="254" w:lineRule="auto"/>
        <w:rPr>
          <w:sz w:val="22"/>
          <w:szCs w:val="22"/>
        </w:rPr>
      </w:pPr>
      <w:r>
        <w:rPr>
          <w:sz w:val="22"/>
          <w:szCs w:val="22"/>
        </w:rPr>
        <w:t>(společně dále označeny též jako „smluvní strany“ nebo samostatně „smluvní strana“)</w:t>
      </w:r>
    </w:p>
    <w:p w:rsidR="00A63622" w:rsidRDefault="009600FD">
      <w:pPr>
        <w:pStyle w:val="Zkladntext1"/>
        <w:numPr>
          <w:ilvl w:val="0"/>
          <w:numId w:val="1"/>
        </w:numPr>
        <w:shd w:val="clear" w:color="auto" w:fill="auto"/>
        <w:tabs>
          <w:tab w:val="left" w:pos="320"/>
        </w:tabs>
        <w:jc w:val="center"/>
      </w:pPr>
      <w:r>
        <w:t>Předmět smlouvy</w:t>
      </w:r>
    </w:p>
    <w:p w:rsidR="00A63622" w:rsidRDefault="009600F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ind w:left="300" w:hanging="300"/>
      </w:pPr>
      <w:r>
        <w:t>Smluvní strany se na základě společné dohody rozhodly uzavřít tuto smlouvu, jejímž předmětem je připojení a odběr elektrické energie a užitkové vody pro zabezpečení staveništního odběru po dobu provádění stavby haly „KRÁLOVNY MOSTU“.</w:t>
      </w:r>
    </w:p>
    <w:p w:rsidR="00A63622" w:rsidRDefault="009600F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ind w:left="300" w:hanging="300"/>
      </w:pPr>
      <w:r>
        <w:t xml:space="preserve">Poskytovatel jako nájemce nemovitosti Sportovní hala, tř. Budovatelů 112/7, 434 01 Most (na základě nájemní smlouvy č. 56/7/2016 uzavřené dle usnesení Rady města Mostu č. </w:t>
      </w:r>
      <w:proofErr w:type="spellStart"/>
      <w:r>
        <w:t>RmM</w:t>
      </w:r>
      <w:proofErr w:type="spellEnd"/>
      <w:r>
        <w:t>/1411/25/2015 ze dne 10. 12. 2015 a jejích dodatků), umožňuje odběrateli:</w:t>
      </w:r>
    </w:p>
    <w:p w:rsidR="00A63622" w:rsidRDefault="009600FD">
      <w:pPr>
        <w:pStyle w:val="Zkladntext1"/>
        <w:numPr>
          <w:ilvl w:val="0"/>
          <w:numId w:val="3"/>
        </w:numPr>
        <w:shd w:val="clear" w:color="auto" w:fill="auto"/>
        <w:tabs>
          <w:tab w:val="left" w:pos="663"/>
        </w:tabs>
        <w:ind w:left="580" w:hanging="280"/>
      </w:pPr>
      <w:r>
        <w:t>připojení a odběr elektrické energie prostřednictvím samostatného přípojného bodu s elektroměrem, který zajistí odběratel, připojení bude provedeno dle pokynů poskytovatele a za jeho účasti;</w:t>
      </w:r>
    </w:p>
    <w:p w:rsidR="00A63622" w:rsidRDefault="009600FD">
      <w:pPr>
        <w:pStyle w:val="Zkladntext1"/>
        <w:numPr>
          <w:ilvl w:val="0"/>
          <w:numId w:val="3"/>
        </w:numPr>
        <w:shd w:val="clear" w:color="auto" w:fill="auto"/>
        <w:tabs>
          <w:tab w:val="left" w:pos="673"/>
        </w:tabs>
        <w:ind w:left="580" w:hanging="280"/>
      </w:pPr>
      <w:r>
        <w:t>připojení a odběr užitkové vody prostřednictvím samostatného přípojného bodu s vodoměrem, který zajistí odběratel, připojení bude provedeno dle pokynů poskytovatele a za jeho účasti.</w:t>
      </w:r>
    </w:p>
    <w:p w:rsidR="00A63622" w:rsidRDefault="009600F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</w:pPr>
      <w:r>
        <w:t>Odběratel je oprávněn měnit místa napojení pouze s předchozím souhlasem poskytovatele.</w:t>
      </w:r>
    </w:p>
    <w:p w:rsidR="00A63622" w:rsidRDefault="009600F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</w:pPr>
      <w:r>
        <w:t>Smlouva se uzavírá na dobu určitou, a to od 29. 05. 2025 do 31. 05. 2026.</w:t>
      </w:r>
    </w:p>
    <w:p w:rsidR="00A63622" w:rsidRDefault="009600FD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line="240" w:lineRule="auto"/>
        <w:jc w:val="center"/>
      </w:pPr>
      <w:r>
        <w:t>Vyúčtování</w:t>
      </w:r>
    </w:p>
    <w:p w:rsidR="00A63622" w:rsidRDefault="009600FD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ind w:left="300" w:hanging="300"/>
      </w:pPr>
      <w:r>
        <w:lastRenderedPageBreak/>
        <w:t xml:space="preserve">Bez záloh. Odběratel nebude hradit zálohy. Veškeré dodávky budou fakturovány zpětně dle </w:t>
      </w:r>
      <w:r>
        <w:t>skutečné spotřeby.</w:t>
      </w:r>
    </w:p>
    <w:p w:rsidR="00A63622" w:rsidRDefault="009600FD">
      <w:pPr>
        <w:pStyle w:val="Zkladntext1"/>
        <w:shd w:val="clear" w:color="auto" w:fill="auto"/>
        <w:spacing w:after="100"/>
        <w:jc w:val="both"/>
      </w:pPr>
      <w:r>
        <w:t>2. Elektřina:</w:t>
      </w:r>
    </w:p>
    <w:p w:rsidR="00A63622" w:rsidRDefault="009600FD">
      <w:pPr>
        <w:pStyle w:val="Zkladntext1"/>
        <w:numPr>
          <w:ilvl w:val="0"/>
          <w:numId w:val="5"/>
        </w:numPr>
        <w:shd w:val="clear" w:color="auto" w:fill="auto"/>
        <w:tabs>
          <w:tab w:val="left" w:pos="1463"/>
        </w:tabs>
        <w:spacing w:after="180"/>
        <w:ind w:left="1100"/>
      </w:pPr>
      <w:r>
        <w:t>Fakturace bude probíhat měsíčně, vždy do 15. dne následujícího měsíce.</w:t>
      </w:r>
    </w:p>
    <w:p w:rsidR="00A63622" w:rsidRDefault="009600FD">
      <w:pPr>
        <w:pStyle w:val="Zkladntext1"/>
        <w:numPr>
          <w:ilvl w:val="0"/>
          <w:numId w:val="5"/>
        </w:numPr>
        <w:shd w:val="clear" w:color="auto" w:fill="auto"/>
        <w:tabs>
          <w:tab w:val="left" w:pos="1473"/>
        </w:tabs>
        <w:spacing w:after="180"/>
        <w:ind w:left="1460" w:hanging="360"/>
      </w:pPr>
      <w:r>
        <w:t>Základem pro fakturaci bude daňový doklad (faktura) od dodavatele elektrické energie poskytovateli. Tento doklad bude přiložen jako příloha ke každé faktuře vystavované odběrateli.</w:t>
      </w:r>
    </w:p>
    <w:p w:rsidR="00A63622" w:rsidRDefault="009600FD">
      <w:pPr>
        <w:pStyle w:val="Zkladntext1"/>
        <w:numPr>
          <w:ilvl w:val="0"/>
          <w:numId w:val="5"/>
        </w:numPr>
        <w:shd w:val="clear" w:color="auto" w:fill="auto"/>
        <w:tabs>
          <w:tab w:val="left" w:pos="1460"/>
        </w:tabs>
        <w:spacing w:after="180" w:line="283" w:lineRule="auto"/>
        <w:ind w:left="1460" w:hanging="360"/>
      </w:pPr>
      <w:r>
        <w:t>V ceně přefakturované elektrické energie je zahrnuta cena za silovou elektřinu, distribuci, veškeré regulační poplatky, daň z elektřiny a ostatní poplatky, které jsou součástí vyúčtování poskytovatele od jeho dodavatele.</w:t>
      </w:r>
    </w:p>
    <w:p w:rsidR="00A63622" w:rsidRDefault="009600FD">
      <w:pPr>
        <w:pStyle w:val="Zkladntext1"/>
        <w:shd w:val="clear" w:color="auto" w:fill="auto"/>
        <w:spacing w:after="180"/>
        <w:ind w:left="1100"/>
      </w:pPr>
      <w:r>
        <w:t>d. Přefakturace bude odpovídat skutečné spotřebě dle odečtu na podružném elektroměru.</w:t>
      </w:r>
    </w:p>
    <w:p w:rsidR="00A63622" w:rsidRDefault="009600FD">
      <w:pPr>
        <w:pStyle w:val="Zkladntext1"/>
        <w:shd w:val="clear" w:color="auto" w:fill="auto"/>
        <w:spacing w:after="180"/>
        <w:jc w:val="both"/>
      </w:pPr>
      <w:r>
        <w:t>3. Voda:</w:t>
      </w:r>
    </w:p>
    <w:p w:rsidR="00A63622" w:rsidRDefault="009600FD">
      <w:pPr>
        <w:pStyle w:val="Zkladntext1"/>
        <w:shd w:val="clear" w:color="auto" w:fill="auto"/>
        <w:spacing w:after="180"/>
        <w:ind w:left="1100"/>
      </w:pPr>
      <w:r>
        <w:t>a. Fakturace bude probíhat měsíčně, vždy do 15. dne následujícího měsíce.</w:t>
      </w:r>
    </w:p>
    <w:p w:rsidR="00A63622" w:rsidRDefault="009600FD">
      <w:pPr>
        <w:pStyle w:val="Zkladntext1"/>
        <w:shd w:val="clear" w:color="auto" w:fill="auto"/>
        <w:spacing w:after="180"/>
        <w:ind w:left="1460" w:hanging="360"/>
      </w:pPr>
      <w:r>
        <w:t xml:space="preserve">b. Základem pro fakturaci bude poslední známá jednotková cena dle poslední roční </w:t>
      </w:r>
      <w:r>
        <w:t>faktury dodavatele vody poskytovateli. Kopie této faktury bude doložena při prvním vyúčtování.</w:t>
      </w:r>
    </w:p>
    <w:p w:rsidR="00A63622" w:rsidRDefault="009600FD">
      <w:pPr>
        <w:pStyle w:val="Zkladntext1"/>
        <w:numPr>
          <w:ilvl w:val="0"/>
          <w:numId w:val="3"/>
        </w:numPr>
        <w:shd w:val="clear" w:color="auto" w:fill="auto"/>
        <w:tabs>
          <w:tab w:val="left" w:pos="1460"/>
        </w:tabs>
        <w:spacing w:after="560"/>
        <w:ind w:left="1100"/>
      </w:pPr>
      <w:r>
        <w:t>Přefakturace bude odpovídat skutečné spotřebě dle odečtu na vodoměru.</w:t>
      </w:r>
    </w:p>
    <w:p w:rsidR="00A63622" w:rsidRDefault="009600FD">
      <w:pPr>
        <w:pStyle w:val="Zkladntext1"/>
        <w:shd w:val="clear" w:color="auto" w:fill="auto"/>
      </w:pPr>
      <w:r>
        <w:t xml:space="preserve">4. Poskytovatel nebude účtovat žádné dodatečné administrativní náklady spojené s </w:t>
      </w:r>
      <w:r>
        <w:t>přeúčtováním.</w:t>
      </w:r>
    </w:p>
    <w:p w:rsidR="00A63622" w:rsidRDefault="009600F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500"/>
      </w:pPr>
      <w:r>
        <w:t>V případě prodlení s úhradou má poskytovatel právo na zákonný úrok z prodlení.</w:t>
      </w:r>
    </w:p>
    <w:p w:rsidR="00A63622" w:rsidRDefault="009600FD">
      <w:pPr>
        <w:pStyle w:val="Zkladntext1"/>
        <w:numPr>
          <w:ilvl w:val="0"/>
          <w:numId w:val="1"/>
        </w:numPr>
        <w:shd w:val="clear" w:color="auto" w:fill="auto"/>
        <w:tabs>
          <w:tab w:val="left" w:pos="435"/>
        </w:tabs>
        <w:jc w:val="center"/>
      </w:pPr>
      <w:r>
        <w:t>Skončení smlouvy</w:t>
      </w:r>
    </w:p>
    <w:p w:rsidR="00A63622" w:rsidRDefault="009600FD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</w:pPr>
      <w:r>
        <w:t>Plnění podle této smlouvy skončí uplynutím doby sjednané v čl. I. odst. 4.</w:t>
      </w:r>
    </w:p>
    <w:p w:rsidR="00A63622" w:rsidRDefault="009600FD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</w:pPr>
      <w:r>
        <w:t>Tato smlouva může skončit dohodou smluvních stran.</w:t>
      </w:r>
    </w:p>
    <w:p w:rsidR="00A63622" w:rsidRDefault="009600FD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ind w:left="380" w:hanging="380"/>
      </w:pPr>
      <w:r>
        <w:t>Smluvní strany mohou tuto smlouvu ukončit písemnou výpovědí bez udání důvodu a bez výpovědní doby.</w:t>
      </w:r>
    </w:p>
    <w:p w:rsidR="00A63622" w:rsidRDefault="009600FD">
      <w:pPr>
        <w:pStyle w:val="Zkladntext1"/>
        <w:numPr>
          <w:ilvl w:val="0"/>
          <w:numId w:val="1"/>
        </w:numPr>
        <w:shd w:val="clear" w:color="auto" w:fill="auto"/>
        <w:tabs>
          <w:tab w:val="left" w:pos="450"/>
        </w:tabs>
        <w:jc w:val="center"/>
      </w:pPr>
      <w:r>
        <w:t>Závěrečná ustanovení</w:t>
      </w:r>
    </w:p>
    <w:p w:rsidR="00A63622" w:rsidRDefault="009600FD">
      <w:pPr>
        <w:pStyle w:val="Zkladntext1"/>
        <w:shd w:val="clear" w:color="auto" w:fill="auto"/>
      </w:pPr>
      <w:r>
        <w:t>1. Tato smlouva nabývá platnosti a účinnosti dnem jejího podpisu smluvními stranami.</w:t>
      </w:r>
    </w:p>
    <w:p w:rsidR="00A63622" w:rsidRDefault="009600FD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ind w:left="300" w:hanging="300"/>
      </w:pPr>
      <w:r>
        <w:t xml:space="preserve">Tuto smlouvu lze měnit a doplňovat jen písemnými, vzestupně </w:t>
      </w:r>
      <w:r>
        <w:t>číslovanými dodatky, podepsanými oběma smluvními stranami.</w:t>
      </w:r>
    </w:p>
    <w:p w:rsidR="00A63622" w:rsidRDefault="009600FD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ind w:left="300" w:hanging="300"/>
      </w:pPr>
      <w:r>
        <w:t>Tato smlouva byla vyhotovena ve dvou vyhotoveních, z nichž každé má platnost originálu. Jedno vyhotovení obdrží poskytovatel a jedno vyhotovení obdrží odběratel.</w:t>
      </w:r>
    </w:p>
    <w:p w:rsidR="00A63622" w:rsidRDefault="009600FD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ind w:left="300" w:hanging="300"/>
        <w:sectPr w:rsidR="00A63622">
          <w:footerReference w:type="default" r:id="rId7"/>
          <w:pgSz w:w="11900" w:h="16840"/>
          <w:pgMar w:top="1119" w:right="1085" w:bottom="1332" w:left="1085" w:header="691" w:footer="3" w:gutter="0"/>
          <w:pgNumType w:start="1"/>
          <w:cols w:space="720"/>
          <w:noEndnote/>
          <w:docGrid w:linePitch="360"/>
        </w:sectPr>
      </w:pPr>
      <w:r>
        <w:t>Smluvní strany prohlašují, že tato smlouva byla uzavřena na základě jejich pravé, svobodné a omylu prosté vůle, že byly s obsahem smlouvy seznámeny, souhlasí s ním a na důkaz toho připojují své podpisy.</w:t>
      </w:r>
    </w:p>
    <w:p w:rsidR="00A63622" w:rsidRDefault="009600FD">
      <w:pPr>
        <w:pStyle w:val="Zkladntext1"/>
        <w:shd w:val="clear" w:color="auto" w:fill="auto"/>
        <w:spacing w:after="0" w:line="240" w:lineRule="auto"/>
        <w:jc w:val="center"/>
        <w:sectPr w:rsidR="00A63622">
          <w:pgSz w:w="11900" w:h="16840"/>
          <w:pgMar w:top="1532" w:right="1085" w:bottom="9199" w:left="1085" w:header="1104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527050" cy="17081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622" w:rsidRDefault="009600FD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Mostě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650000000000006pt;margin-top:1.pt;width:41.5pt;height:13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Mostě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Obrnicích</w:t>
      </w:r>
    </w:p>
    <w:p w:rsidR="00A63622" w:rsidRDefault="00A63622">
      <w:pPr>
        <w:spacing w:before="79" w:after="79" w:line="240" w:lineRule="exact"/>
        <w:rPr>
          <w:sz w:val="19"/>
          <w:szCs w:val="19"/>
        </w:rPr>
      </w:pPr>
    </w:p>
    <w:p w:rsidR="00A63622" w:rsidRDefault="00A63622">
      <w:pPr>
        <w:spacing w:line="1" w:lineRule="exact"/>
        <w:sectPr w:rsidR="00A63622">
          <w:type w:val="continuous"/>
          <w:pgSz w:w="11900" w:h="16840"/>
          <w:pgMar w:top="1532" w:right="0" w:bottom="1101" w:left="0" w:header="0" w:footer="3" w:gutter="0"/>
          <w:cols w:space="720"/>
          <w:noEndnote/>
          <w:docGrid w:linePitch="360"/>
        </w:sectPr>
      </w:pPr>
    </w:p>
    <w:p w:rsidR="00A63622" w:rsidRDefault="00A63622">
      <w:pPr>
        <w:spacing w:line="240" w:lineRule="exact"/>
        <w:rPr>
          <w:sz w:val="19"/>
          <w:szCs w:val="19"/>
        </w:rPr>
      </w:pPr>
    </w:p>
    <w:p w:rsidR="00A63622" w:rsidRDefault="00A63622">
      <w:pPr>
        <w:spacing w:line="240" w:lineRule="exact"/>
        <w:rPr>
          <w:sz w:val="19"/>
          <w:szCs w:val="19"/>
        </w:rPr>
      </w:pPr>
    </w:p>
    <w:p w:rsidR="009600FD" w:rsidRDefault="009600FD"/>
    <w:sectPr w:rsidR="00000000">
      <w:type w:val="continuous"/>
      <w:pgSz w:w="11900" w:h="16840"/>
      <w:pgMar w:top="1532" w:right="3110" w:bottom="1532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0FD" w:rsidRDefault="009600FD">
      <w:r>
        <w:separator/>
      </w:r>
    </w:p>
  </w:endnote>
  <w:endnote w:type="continuationSeparator" w:id="0">
    <w:p w:rsidR="009600FD" w:rsidRDefault="009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622" w:rsidRDefault="009600F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10022205</wp:posOffset>
              </wp:positionV>
              <wp:extent cx="7302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3622" w:rsidRDefault="009600F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4.5pt;margin-top:789.14999999999998pt;width:5.75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622" w:rsidRDefault="00A63622"/>
  </w:footnote>
  <w:footnote w:type="continuationSeparator" w:id="0">
    <w:p w:rsidR="00A63622" w:rsidRDefault="00A636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701"/>
    <w:multiLevelType w:val="multilevel"/>
    <w:tmpl w:val="D0ECA39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197DF1"/>
    <w:multiLevelType w:val="multilevel"/>
    <w:tmpl w:val="C9F2E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15693E"/>
    <w:multiLevelType w:val="multilevel"/>
    <w:tmpl w:val="5F325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3D1C14"/>
    <w:multiLevelType w:val="multilevel"/>
    <w:tmpl w:val="DEE82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87B63"/>
    <w:multiLevelType w:val="multilevel"/>
    <w:tmpl w:val="97FC30D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B46049"/>
    <w:multiLevelType w:val="multilevel"/>
    <w:tmpl w:val="16343D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1521219">
    <w:abstractNumId w:val="5"/>
  </w:num>
  <w:num w:numId="2" w16cid:durableId="959342258">
    <w:abstractNumId w:val="1"/>
  </w:num>
  <w:num w:numId="3" w16cid:durableId="523135440">
    <w:abstractNumId w:val="0"/>
  </w:num>
  <w:num w:numId="4" w16cid:durableId="1441335412">
    <w:abstractNumId w:val="3"/>
  </w:num>
  <w:num w:numId="5" w16cid:durableId="2145736216">
    <w:abstractNumId w:val="4"/>
  </w:num>
  <w:num w:numId="6" w16cid:durableId="1366755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22"/>
    <w:rsid w:val="00677A7F"/>
    <w:rsid w:val="009600FD"/>
    <w:rsid w:val="00A6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9029"/>
  <w15:docId w15:val="{7F47B55F-0EA0-453A-BDFA-BE50299B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- 20250528_HERKUL_Sportovní hala_Odb˙ry_ElektYina_Voda_ver01.docx</dc:title>
  <dc:subject/>
  <dc:creator/>
  <cp:keywords/>
  <cp:lastModifiedBy>Záborcová Miroslava</cp:lastModifiedBy>
  <cp:revision>2</cp:revision>
  <dcterms:created xsi:type="dcterms:W3CDTF">2025-07-08T07:51:00Z</dcterms:created>
  <dcterms:modified xsi:type="dcterms:W3CDTF">2025-07-08T07:52:00Z</dcterms:modified>
</cp:coreProperties>
</file>