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826" w:right="3970" w:bottom="621" w:left="3960" w:header="398" w:footer="19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r>
        <w:rPr>
          <w:rStyle w:val="CharStyle3"/>
          <w:b/>
          <w:bCs/>
        </w:rPr>
        <w:t>Smlouva o administraci projektu</w:t>
      </w:r>
      <w:bookmarkEnd w:id="0"/>
    </w:p>
    <w:p>
      <w:pPr>
        <w:pStyle w:val="Style4"/>
        <w:keepNext/>
        <w:keepLines/>
        <w:framePr w:w="2146" w:h="619" w:wrap="none" w:vAnchor="text" w:hAnchor="page" w:x="104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5"/>
          <w:b/>
          <w:bCs/>
        </w:rPr>
        <w:t>Poskytovatel služby: Type.Bo s.r.o.</w:t>
      </w:r>
      <w:bookmarkEnd w:id="2"/>
    </w:p>
    <w:p>
      <w:pPr>
        <w:widowControl w:val="0"/>
        <w:spacing w:after="61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26" w:right="1056" w:bottom="621" w:left="10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 w:firstLine="4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12700</wp:posOffset>
                </wp:positionV>
                <wp:extent cx="1048385" cy="7378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8385" cy="737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IČ: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Zastoupena: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Kontaktní údaje: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.100000000000001pt;margin-top:1.pt;width:82.549999999999997pt;height:58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Se sídlem: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Zastoupena: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Kontaktní údaje: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7"/>
        </w:rPr>
        <w:t>Klapkova 1874/83, 18200 Praha 8- Kobylisy 14305356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rStyle w:val="CharStyle7"/>
        </w:rPr>
        <w:t>Bc. Veronikou Bočkovou, jednatelem společnosti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20"/>
        <w:jc w:val="both"/>
      </w:pPr>
      <w:r>
        <w:rPr>
          <w:rStyle w:val="CharStyle7"/>
        </w:rPr>
        <w:t xml:space="preserve">Email: </w:t>
      </w:r>
      <w:r>
        <w:fldChar w:fldCharType="begin"/>
      </w:r>
      <w:r>
        <w:rPr/>
        <w:instrText> HYPERLINK "mailto:bockova@typebo.cz" </w:instrText>
      </w:r>
      <w:r>
        <w:fldChar w:fldCharType="separate"/>
      </w:r>
      <w:r>
        <w:rPr>
          <w:rStyle w:val="CharStyle7"/>
          <w:color w:val="0563C1"/>
          <w:u w:val="single"/>
        </w:rPr>
        <w:t>bockova@typebo.cz</w:t>
      </w:r>
      <w:r>
        <w:fldChar w:fldCharType="end"/>
      </w:r>
      <w:r>
        <w:rPr>
          <w:rStyle w:val="CharStyle7"/>
          <w:color w:val="0563C1"/>
        </w:rPr>
        <w:t xml:space="preserve"> </w:t>
      </w:r>
      <w:r>
        <w:rPr>
          <w:rStyle w:val="CharStyle7"/>
        </w:rPr>
        <w:t>728 027 121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bookmarkStart w:id="8" w:name="bookmark8"/>
      <w:r>
        <w:rPr>
          <w:rStyle w:val="CharStyle5"/>
        </w:rPr>
        <w:t xml:space="preserve">(dále </w:t>
      </w:r>
      <w:r>
        <w:rPr>
          <w:rStyle w:val="CharStyle5"/>
          <w:b/>
          <w:bCs/>
        </w:rPr>
        <w:t>„Poskytovatel“)</w:t>
      </w:r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  <w:b/>
          <w:bCs/>
        </w:rPr>
        <w:t>Příjemce služby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Style w:val="CharStyle5"/>
          <w:b/>
          <w:bCs/>
        </w:rPr>
        <w:t>Gymnázium, Praha 5, Na Zatlance 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 w:firstLine="4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ragraph">
                  <wp:posOffset>12700</wp:posOffset>
                </wp:positionV>
                <wp:extent cx="1057910" cy="91440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7910" cy="914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IČ: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datová schránka: zastoupená: Kontaktní údaje: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2.100000000000001pt;margin-top:1.pt;width:83.299999999999997pt;height:72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Se sídlem: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datová schránka: zastoupená: Kontaktní údaje: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7"/>
        </w:rPr>
        <w:t>Na Zatlance 1330/11, Smíchov, 150 00 Praha 5 61385271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rStyle w:val="CharStyle7"/>
        </w:rPr>
        <w:t>hdpzb4b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rStyle w:val="CharStyle7"/>
        </w:rPr>
        <w:t>Mgr. Dagmar Škorpíkovou, ředitelkou školy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320"/>
        <w:jc w:val="both"/>
      </w:pPr>
      <w:r>
        <w:fldChar w:fldCharType="begin"/>
      </w:r>
      <w:r>
        <w:rPr/>
        <w:instrText> HYPERLINK "mailto:skorpikova@zatlanka.cz" </w:instrText>
      </w:r>
      <w:r>
        <w:fldChar w:fldCharType="separate"/>
      </w:r>
      <w:r>
        <w:rPr>
          <w:rStyle w:val="CharStyle7"/>
          <w:color w:val="1155CC"/>
          <w:u w:val="single"/>
        </w:rPr>
        <w:t>skorpikova@zatlanka.cz</w:t>
      </w:r>
      <w:r>
        <w:fldChar w:fldCharType="end"/>
      </w:r>
      <w:r>
        <w:rPr>
          <w:rStyle w:val="CharStyle7"/>
        </w:rPr>
        <w:t>; 604 534 358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bookmarkStart w:id="12" w:name="bookmark12"/>
      <w:r>
        <w:rPr>
          <w:rStyle w:val="CharStyle5"/>
        </w:rPr>
        <w:t xml:space="preserve">(dále jen </w:t>
      </w:r>
      <w:r>
        <w:rPr>
          <w:rStyle w:val="CharStyle5"/>
          <w:b/>
          <w:bCs/>
        </w:rPr>
        <w:t>„Příjemce“)</w:t>
      </w:r>
      <w:bookmarkEnd w:id="12"/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16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Předmět smlouvy</w:t>
      </w:r>
      <w:bookmarkEnd w:id="1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both"/>
      </w:pPr>
      <w:r>
        <w:rPr>
          <w:rStyle w:val="CharStyle7"/>
        </w:rPr>
        <w:t>Předmětem této smlouvy je závazek poskytovatele zabezpečit ve spolupráci s příjemcem přípravu žádosti včetně administrace v době hodnocení žádosti v rámci operačního programu OP JAK v rámci výzvy č. 02_24_035 pro Šablony pro SŠ a VOŠ II a dále po té, co projekt s názvem „Podpora rozvoje Gymnázia Na Zatlance IV“ získá dotaci, zabezpečit administraci projektu, po přiznání dotace ve vztahu k poskytovateli dotace.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320"/>
        <w:jc w:val="both"/>
      </w:pPr>
      <w:r>
        <w:rPr>
          <w:rStyle w:val="CharStyle7"/>
        </w:rPr>
        <w:t>Tato činnost zahrnuje především tyto úkony: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7"/>
        </w:rPr>
        <w:t>A)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440" w:right="0" w:hanging="320"/>
        <w:jc w:val="left"/>
      </w:pPr>
      <w:r>
        <w:rPr>
          <w:rStyle w:val="CharStyle7"/>
        </w:rPr>
        <w:t>poskytování konzultace k zamýšlené podobě projektu, aktivní doporučení ze strany poskytovatele, sestavení či pomoc při sestavování předpokládaného rozpočtu projektu včetně posouzení uznatelnosti nákladů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100" w:right="0" w:firstLine="0"/>
        <w:jc w:val="both"/>
      </w:pPr>
      <w:r>
        <w:rPr>
          <w:rStyle w:val="CharStyle7"/>
        </w:rPr>
        <w:t>zpracování žádosti projektu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440" w:right="0" w:hanging="320"/>
        <w:jc w:val="both"/>
      </w:pPr>
      <w:r>
        <w:rPr>
          <w:rStyle w:val="CharStyle7"/>
        </w:rPr>
        <w:t>přípravu podkladů pro zajištění potřebných dokumentů, stanovisek, rozhodnutí pro zpracování žádosti o podporu a to ve spolupráci s příjemcem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440" w:right="0" w:hanging="320"/>
        <w:jc w:val="both"/>
      </w:pPr>
      <w:r>
        <w:rPr>
          <w:rStyle w:val="CharStyle7"/>
        </w:rPr>
        <w:t>zajištění zpracování podkladů - analýz - pokud je to pro projekt či projektový záměr nezbytné a to ve spolupráci s příjemcem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440" w:right="0" w:hanging="320"/>
        <w:jc w:val="both"/>
      </w:pPr>
      <w:r>
        <w:rPr>
          <w:rStyle w:val="CharStyle7"/>
        </w:rPr>
        <w:t>kompletaci dalších povinných příloh projektu, které budou vyžadovány na základě určujících podmínek pro uchazeče o dotaci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100" w:right="0" w:firstLine="0"/>
        <w:jc w:val="both"/>
      </w:pPr>
      <w:r>
        <w:rPr>
          <w:rStyle w:val="CharStyle7"/>
        </w:rPr>
        <w:t>finální kompletace projektové žádosti a zajištění podání žádosti na sběrném místě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/>
        <w:ind w:left="1100" w:right="0" w:firstLine="0"/>
        <w:jc w:val="both"/>
      </w:pPr>
      <w:r>
        <w:rPr>
          <w:rStyle w:val="CharStyle7"/>
        </w:rPr>
        <w:t>úpravy žádosti a podkladů vyplývajících z jednotlivých stupňů kontrol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160"/>
        <w:ind w:left="1100" w:right="0" w:firstLine="0"/>
        <w:jc w:val="both"/>
      </w:pPr>
      <w:r>
        <w:rPr>
          <w:rStyle w:val="CharStyle7"/>
        </w:rPr>
        <w:t>sledování projektové žádosti do přidělení dotace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Style w:val="CharStyle7"/>
        </w:rPr>
        <w:t>B)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 w:line="240" w:lineRule="auto"/>
        <w:ind w:left="1100" w:right="0" w:firstLine="0"/>
        <w:jc w:val="both"/>
      </w:pPr>
      <w:r>
        <w:rPr>
          <w:rStyle w:val="CharStyle7"/>
        </w:rPr>
        <w:t>konzultační a poradenské služby pro realizační management k projektu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51" w:val="left"/>
        </w:tabs>
        <w:bidi w:val="0"/>
        <w:spacing w:before="0" w:after="0" w:line="240" w:lineRule="auto"/>
        <w:ind w:left="1440" w:right="0" w:hanging="320"/>
        <w:jc w:val="both"/>
      </w:pPr>
      <w:r>
        <w:rPr>
          <w:rStyle w:val="CharStyle7"/>
        </w:rPr>
        <w:t>podpora, asistence a poradenství ve vztahu k tvorbě monitorovacích zpráv, žádostí o platbu včetně závěrečného vyúčtování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100" w:right="0" w:firstLine="0"/>
        <w:jc w:val="both"/>
      </w:pPr>
      <w:r>
        <w:rPr>
          <w:rStyle w:val="CharStyle7"/>
        </w:rPr>
        <w:t>(více viz Příloha č. 1)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59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Odměna</w:t>
      </w:r>
      <w:bookmarkEnd w:id="16"/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 xml:space="preserve">Za služby uvedené v článku I, poskytne příjemce poskytovateli odměnu ve výši 5 % bez DPH z celkové výše schválené dotace předmětného projektu, tj. </w:t>
      </w:r>
      <w:r>
        <w:rPr>
          <w:rStyle w:val="CharStyle7"/>
          <w:b/>
          <w:bCs/>
        </w:rPr>
        <w:t xml:space="preserve">145.881 Kč bez DPH, tj. 176.516 Kč s DPH. </w:t>
      </w:r>
      <w:r>
        <w:rPr>
          <w:rStyle w:val="CharStyle7"/>
        </w:rPr>
        <w:t>Tato odměna je splatná po obdržení zálohové platby dotace na účet příjemce.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5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má na odměnu dle bodu 1) tohoto článku nárok pouze v případě, že projektová žádost bude schválena.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0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Výše uvedená odměna je konečná a poskytovatel nemá nárok ji jakkoliv navyšovat (např. nárokováním cestovného apod.).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5" w:val="left"/>
        </w:tabs>
        <w:bidi w:val="0"/>
        <w:spacing w:before="0" w:after="860"/>
        <w:ind w:left="360" w:right="0" w:hanging="360"/>
        <w:jc w:val="both"/>
      </w:pPr>
      <w:r>
        <w:rPr>
          <w:rStyle w:val="CharStyle7"/>
        </w:rPr>
        <w:t>Odměna dle bodu 1) tohoto článku bude vyplacena na základě daňového dokladu (faktury) vystaveného poskytovatelem.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59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Specifikace závazku smluvních stran</w:t>
      </w:r>
      <w:bookmarkEnd w:id="18"/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se zavazuje při plnění smlouvy postupovat s odbornou péčí v zájmu Příjemce, dle této smlouvy a platných ustanovení zákona.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5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je povinen uskutečňovat činnost, která je předmětem této smlouvy, podle pokynů Příjemce a v souladu s jeho zájmy. Poskytovatel neodpovídá za vady v dokončené a odevzdané práci, jestliže tyto vady byly způsobeny použitím podkladů, informací a věcí, předaných mu ke zpracování Příjemcem.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0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se zavazuje, že bude průběžně informovat Příjemce o všech postupech a skutečnostech, které zjistí při zařizování záležitosti, pakliže mohou mít vliv na změnu pokynů Příjemce.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5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je oprávněn uskutečňovat část smluvního plnění prostřednictvím třetích osob (např. jinou právnickou nebo fyzickou osobou). Toto právo se vztahuje na činnosti, které nemůže Poskytovatel zajistit ze svých zdrojů.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je povinen po ukončení spolupráce předat Příjemci bez zbytečného odkladu, na základě písemné výzvy Příjemce, věci, které za něho převzal při začátku a během plnění Smlouvy.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Zjistí-li Poskytovatel při zajišťování prací překážky, které znemožňují řádné uskutečnění činnosti a právních úkonů dohodnutým způsobem, oznámí to neprodleně Příjemci, se kterým se dohodne na odstranění těchto překážek. Nedohodnou-li se strany na odstranění překážek, popř. změně smlouvy, ve lhůtě 7 dnů, je Poskytovatel oprávněn odstoupit od Smlouvy ve smyslu ustanovení čl. IV této části smlouvy. Poskytovatelovi náleží i v tomto případě sjednaná odměna dle ustanovení II ods. 1).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0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Poskytovatel je povinen zachovávat mlčenlivost o všech údajích, které jsou obsaženy v projektových, technických a realizačních podkladech, nebo o jiných skutečnostech, se kterými přijde při plnění této smlouvy do styku. Tyto údaje jsou Poskytovatelem považovány za předmět obchodního tajemství Příjemce ve smyslu ustanovení § 504 občanského zákoníku.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6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Příjemce zajistí poskytovateli včas nutné podklady pro zpracování projektové žádosti a další uvedené přílohy a to zejména povinné přílohy typu IČ, ekonomické informace o žadateli atd., vyžádá-li si to situace. Toto bude dodáno v dostatečném předstihu před termínem odevzdání žádosti tak, aby mohl poskytovatel zapracovat tyto podklady před finálním odevzdáním žádosti o dotaci.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0" w:val="left"/>
        </w:tabs>
        <w:bidi w:val="0"/>
        <w:spacing w:before="0" w:after="0"/>
        <w:ind w:left="360" w:right="0" w:hanging="360"/>
        <w:jc w:val="both"/>
      </w:pPr>
      <w:r>
        <w:rPr>
          <w:rStyle w:val="CharStyle7"/>
        </w:rPr>
        <w:t>Příjemce se zavazuje poskytovat poskytovateli k plnění této smlouvy náležitou součinnost, tj. zejména jmenovat pověřeného zástupce, včas předávat poskytovateli na jeho žádost veškeré podklady a informace související s předmětným projektem a jeho realizací. Rozhodným dnem je vždy obdržení veškerých podkladů minimálně 30 dnů před odevzdáním monitorovací zprávy na řídící orgán.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V případě pozdního předání podkladů pro realizaci předmětu této smlouvy, nese Příjemce plnou odpovědnost za případné chyby ve výstupech Poskytovatele.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8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Poskytovatel je povinen poskytovat veškerou součinnost, kterou po něm může Příjemce rozumě požadovat. Zejména je povinen umožnit Poskytovateli získat ty podklady a dokumenty, které Příjemci identifikuje v předstihu nezbytném pro pořízení těchto podkladů, jsou-li v jeho v dispozici. Příjemce není povinen předávat Poskytovateli informace bezplatně dostupné z veřejných zdrojů. V tomto případě postačuje pouze odkaz na tyto zveřejněné informace.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Příjemce je povinen Poskytovateli za činnost provedenou v souladu s touto smlouvou vyplatit odměnu, dle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Zjistí-li Příjemce případné vady, které vznikly při poskytování služeb, je povinen je neprodleně nahlásit Poskytovateli. Příjemce je oprávněn požadovat jejich bezplatné odstranění, je-li to možné.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Poskytovatel je povinen poskytovat služby v odborné kvalitě běžné u obdobných poradenských a analytických služeb.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Poskytovatel se zavazuje využít neveřejné údaje získané od Příkazce v souvislosti s touto smlouvou k jiným účelům než k účelům stanoveným v této smlouvě pouze s jeho souhlasem.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Příjemce se zavazuje zajistit souhlas se zpracováním osobních údajů dotčených osob z 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Zpracování údajů bude sloužit výhradně v souvislosti s realizací projektu, zejména pak při přípravě zpráv o realizaci projektu.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Příjemce souhlasí, aby byl uveden na webových stránkách poskytovatele služby jako referenční klient a projekt jako referenční zakázka.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Smluvní strany výslovně sjednávají, že uveřejnění této smlouvy v registru smluv dle zákona č. 340/2015 Sb., zvláštních podmínkách účinnosti některých smluv, uveřejňování těchto smluv a o registru smluv (zákon o registru smluv) zajistí Příjemce.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7" w:val="left"/>
        </w:tabs>
        <w:bidi w:val="0"/>
        <w:spacing w:before="0" w:after="0"/>
        <w:ind w:left="380" w:right="0" w:hanging="380"/>
        <w:jc w:val="both"/>
      </w:pPr>
      <w:r>
        <w:rPr>
          <w:rStyle w:val="CharStyle7"/>
        </w:rPr>
        <w:t>Příjemce je zodpovědný za vyvěšení uzavřené smlouvy dle platné legislativy v Registru smluv. Pokud tak Příjemce neučiní do 30 dnů od uzavření smlouvy, je Poskytovatel oprávněn žádat sankci za nesplnění podmínky ve výši 1.000 Kč a následně uveřejňuje smlouvu vlastními silami.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1" w:val="left"/>
        </w:tabs>
        <w:bidi w:val="0"/>
        <w:spacing w:before="0" w:after="860"/>
        <w:ind w:left="380" w:right="0" w:hanging="380"/>
        <w:jc w:val="both"/>
      </w:pPr>
      <w:r>
        <w:rPr>
          <w:rStyle w:val="CharStyle7"/>
        </w:rPr>
        <w:t>Tato smlouva je uzavírána v rámci dotačního procesu. Smluvní strany berou na vědomí, že Řídící orgán nebo Poskytovatel dotace může v rámci svého vrchnostenského postavení autoritativně rozhodovat o přidělení nebo nepřidělení dotace a Příjemce dotace nemá na poskytnutí dotace právní nárok. Smluvní strany proto prohlašují, že jsou si vědomi skutečnosti, že v případě neudělení dotace nebo udělení v nižší než žádané výši nevzniká Příjemci ze vztahu k Poskytovateli služby žádný nárok na náhradu dotace nebo její části.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Ukončení smlouvy</w:t>
      </w:r>
      <w:bookmarkEnd w:id="20"/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7"/>
        </w:rPr>
        <w:t>Poskytovatel má právo odstoupit od smlouvy v případě, že příjemce je v prodlení s úhradou faktury delším než 15 pracovních dní od splatnosti faktury.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7"/>
        </w:rPr>
        <w:t>Příjemce je oprávněn od smlouvy odstoupit, pokud je Poskytovatel v prodlení s poskytováním služeb, jenž má za následek nepředání žádosti či monitorovací zprávy příslušné implementační agentuře programu a toto prodlení je zaviněno výhradně Poskytovatelem.</w:t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420" w:line="240" w:lineRule="auto"/>
        <w:ind w:left="380" w:right="0" w:hanging="380"/>
        <w:jc w:val="both"/>
      </w:pPr>
      <w:r>
        <w:rPr>
          <w:rStyle w:val="CharStyle7"/>
        </w:rPr>
        <w:t>Smluvní strany mohou ukončit tuto smlouvu písemnou dohodou, jejíž součástí musí být finanční vyrovnání Poskytovateli a jeho dosud provedených prací.</w:t>
      </w:r>
      <w:r>
        <w:br w:type="page"/>
      </w:r>
    </w:p>
    <w:p>
      <w:pPr>
        <w:pStyle w:val="Style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6" w:val="left"/>
        </w:tabs>
        <w:bidi w:val="0"/>
        <w:spacing w:before="0" w:after="800" w:line="240" w:lineRule="auto"/>
        <w:ind w:left="360" w:right="0" w:hanging="360"/>
        <w:jc w:val="both"/>
      </w:pPr>
      <w:r>
        <w:rPr>
          <w:rStyle w:val="CharStyle7"/>
        </w:rPr>
        <w:t>V případě ukončení smlouvy jinak než splněním je Poskytovatel oprávněn vyúčtovat Příjemci dosud poskytnuté služby ve výši 800,- Kč/hod bez DPH, veškeré dosud vynaložené náklady spojené s poskytováním služeb a všechny odměny a ceny podle této smlouvy, za účelem kterých již byla vykonána činnost, bez ohledu nato zda přinesla očekávaný výsledek a bez ohledu nato zda již vzniklo dílčí zdanitelné plnění.</w:t>
      </w:r>
    </w:p>
    <w:p>
      <w:pPr>
        <w:pStyle w:val="Style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720" w:val="left"/>
        </w:tabs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Obecná ustanovení</w:t>
      </w:r>
      <w:bookmarkEnd w:id="22"/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 souladu s právními předpisy a které co nejvíce odpovídá obsahu a účelu původního ujednání.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Doplňky a změny této smlouvy musí být učiněny písemně formou vzestupně číslovaných dodatků a podepsány oběma smluvními stranami.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Tato Smlouva je vyhotovena ve dvou stejnopisech s platností originálu, po jednom pro každou ze smluvních stran.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Tato Smlouva je uzavírána na základě pravé a svobodné vůle smluvních stran, určitě a srozumitelně, nikoliv v tísni.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OPJAK.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>
      <w:pPr>
        <w:pStyle w:val="Style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6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7"/>
        </w:rPr>
        <w:t>Smluvní strany prohlašují, že skutečnosti uvedené ve smlouvě i jejich dodatcích nepovažují za obchodní tajemství a udělují svolení k jejich užití a zveřejnění bez stanovení jakýchkoliv dalších podmínek. Poskytovatel zároveň uděluje svůj výslovný souhlas Příjemci se zveřejněním uzavřené smlouvy včetně jejich dodatků.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33400" distB="871855" distL="0" distR="0" simplePos="0" relativeHeight="125829382" behindDoc="0" locked="0" layoutInCell="1" allowOverlap="1">
                <wp:simplePos x="0" y="0"/>
                <wp:positionH relativeFrom="page">
                  <wp:posOffset>1608455</wp:posOffset>
                </wp:positionH>
                <wp:positionV relativeFrom="paragraph">
                  <wp:posOffset>533400</wp:posOffset>
                </wp:positionV>
                <wp:extent cx="774065" cy="21336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26.65000000000001pt;margin-top:42.pt;width:60.950000000000003pt;height:16.800000000000001pt;z-index:-125829371;mso-wrap-distance-left:0;mso-wrap-distance-top:42.pt;mso-wrap-distance-right:0;mso-wrap-distance-bottom:68.65000000000000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0890" distB="21590" distL="0" distR="0" simplePos="0" relativeHeight="125829384" behindDoc="0" locked="0" layoutInCell="1" allowOverlap="1">
                <wp:simplePos x="0" y="0"/>
                <wp:positionH relativeFrom="page">
                  <wp:posOffset>968375</wp:posOffset>
                </wp:positionH>
                <wp:positionV relativeFrom="paragraph">
                  <wp:posOffset>770890</wp:posOffset>
                </wp:positionV>
                <wp:extent cx="853440" cy="82613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826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9"/>
                              </w:rPr>
                              <w:t>Bc.</w:t>
                            </w:r>
                            <w:bookmarkEnd w:id="4"/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Veronika</w:t>
                            </w:r>
                          </w:p>
                          <w:p>
                            <w:pPr>
                              <w:pStyle w:val="Style8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Bočková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6.25pt;margin-top:60.700000000000003pt;width:67.200000000000003pt;height:65.049999999999997pt;z-index:-125829369;mso-wrap-distance-left:0;mso-wrap-distance-top:60.700000000000003pt;mso-wrap-distance-right:0;mso-wrap-distance-bottom:1.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9"/>
                        </w:rPr>
                        <w:t>Bc.</w:t>
                      </w:r>
                      <w:bookmarkEnd w:id="4"/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Veronika</w:t>
                      </w:r>
                    </w:p>
                    <w:p>
                      <w:pPr>
                        <w:pStyle w:val="Style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Bočková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7240" distB="0" distL="0" distR="0" simplePos="0" relativeHeight="125829386" behindDoc="0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777240</wp:posOffset>
                </wp:positionV>
                <wp:extent cx="926465" cy="8413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841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Digitálně podepsal Bc.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Veronika Bočková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 xml:space="preserve">Datum: 2025.07.02 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07: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04: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36 +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02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'00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  <w:sz w:val="16"/>
                                <w:szCs w:val="16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45.34999999999999pt;margin-top:61.200000000000003pt;width:72.950000000000003pt;height:66.25pt;z-index:-125829367;mso-wrap-distance-left:0;mso-wrap-distance-top:61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11"/>
                          <w:sz w:val="16"/>
                          <w:szCs w:val="16"/>
                        </w:rPr>
                        <w:t>Digitálně podepsal Bc.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11"/>
                          <w:sz w:val="16"/>
                          <w:szCs w:val="16"/>
                        </w:rPr>
                        <w:t>Veronika Bočková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11"/>
                          <w:sz w:val="16"/>
                          <w:szCs w:val="16"/>
                        </w:rPr>
                        <w:t xml:space="preserve">Datum: 2025.07.02 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07: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04: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36 +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02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'00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  <w:sz w:val="16"/>
                          <w:szCs w:val="16"/>
                        </w:rP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3400" distB="0" distL="0" distR="0" simplePos="0" relativeHeight="125829388" behindDoc="0" locked="0" layoutInCell="1" allowOverlap="1">
                <wp:simplePos x="0" y="0"/>
                <wp:positionH relativeFrom="page">
                  <wp:posOffset>4284345</wp:posOffset>
                </wp:positionH>
                <wp:positionV relativeFrom="paragraph">
                  <wp:posOffset>533400</wp:posOffset>
                </wp:positionV>
                <wp:extent cx="966470" cy="108521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6470" cy="1085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V Praze dne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Mgr.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Dagmar</w:t>
                            </w:r>
                          </w:p>
                          <w:p>
                            <w:pPr>
                              <w:pStyle w:val="Style1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5"/>
                              </w:rPr>
                              <w:t>Ško</w:t>
                            </w: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5"/>
                              </w:rPr>
                              <w:t>rp</w:t>
                            </w: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5"/>
                              </w:rPr>
                              <w:t>ík</w:t>
                            </w: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5"/>
                              </w:rPr>
                              <w:t>o</w:t>
                            </w:r>
                            <w:r>
                              <w:rPr>
                                <w:rStyle w:val="CharStyle15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5"/>
                              </w:rPr>
                              <w:t>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7.35000000000002pt;margin-top:42.pt;width:76.100000000000009pt;height:85.450000000000003pt;z-index:-125829365;mso-wrap-distance-left:0;mso-wrap-distance-top:42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V Praze dne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Mgr.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Dagmar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5"/>
                        </w:rPr>
                        <w:t>Ško</w:t>
                      </w: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5"/>
                        </w:rPr>
                        <w:t>rp</w:t>
                      </w: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5"/>
                        </w:rPr>
                        <w:t>ík</w:t>
                      </w: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5"/>
                        </w:rPr>
                        <w:t>o</w:t>
                      </w:r>
                      <w:r>
                        <w:rPr>
                          <w:rStyle w:val="CharStyle15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5"/>
                        </w:rPr>
                        <w:t>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75030" distB="0" distL="0" distR="0" simplePos="0" relativeHeight="125829390" behindDoc="0" locked="0" layoutInCell="1" allowOverlap="1">
                <wp:simplePos x="0" y="0"/>
                <wp:positionH relativeFrom="page">
                  <wp:posOffset>5384800</wp:posOffset>
                </wp:positionH>
                <wp:positionV relativeFrom="paragraph">
                  <wp:posOffset>875030</wp:posOffset>
                </wp:positionV>
                <wp:extent cx="953770" cy="7435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743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Mgr. Dagmar Škorpíková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Datum: 2025.07.01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18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</w:rPr>
                              <w:t>:44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</w:rPr>
                              <w:t>:13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</w:rPr>
                              <w:t>+0</w:t>
                            </w:r>
                            <w:r>
                              <w:rPr>
                                <w:rStyle w:val="CharStyle1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Style w:val="CharStyle11"/>
                              </w:rPr>
                              <w:t>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4.pt;margin-top:68.900000000000006pt;width:75.100000000000009pt;height:58.550000000000004pt;z-index:-125829363;mso-wrap-distance-left:0;mso-wrap-distance-top:68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Digitálně podepsal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Mgr. Dagmar Škorpíková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Datum: 2025.07.01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18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</w:rPr>
                        <w:t>:44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</w:rPr>
                        <w:t>:13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</w:rPr>
                        <w:t>+0</w:t>
                      </w:r>
                      <w:r>
                        <w:rPr>
                          <w:rStyle w:val="CharStyle11"/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Style w:val="CharStyle11"/>
                        </w:rPr>
                        <w:t>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0" distL="0" distR="0" simplePos="0" relativeHeight="125829392" behindDoc="0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76200</wp:posOffset>
                </wp:positionV>
                <wp:extent cx="1408430" cy="21336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84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Bc. Veronika Bočková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01.95pt;margin-top:6.pt;width:110.90000000000001pt;height:16.800000000000001pt;z-index:-125829361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Bc. Veronika Bočková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394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ragraph">
                  <wp:posOffset>76200</wp:posOffset>
                </wp:positionV>
                <wp:extent cx="1548130" cy="21336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813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Statutární zástupce školy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7.30000000000001pt;margin-top:6.pt;width:121.90000000000001pt;height:16.800000000000001pt;z-index:-125829359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Statutární zástupce školy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4" w:name="bookmark24"/>
      <w:r>
        <w:rPr>
          <w:rStyle w:val="CharStyle24"/>
          <w:b/>
          <w:bCs/>
        </w:rPr>
        <w:t>Příloha č. 1 Podrobná specifikace aktivit ve vztahu</w:t>
        <w:br/>
        <w:t>k administraci projektu</w:t>
      </w:r>
      <w:bookmarkEnd w:id="24"/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rStyle w:val="CharStyle7"/>
          <w:b/>
          <w:bCs/>
          <w:i/>
          <w:iCs/>
        </w:rPr>
        <w:t>Poradenství k nastavení vnitřních procesů administrace a monitoringu projektu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/>
        <w:ind w:left="1100" w:right="0" w:hanging="360"/>
        <w:jc w:val="both"/>
      </w:pPr>
      <w:r>
        <w:rPr>
          <w:rStyle w:val="CharStyle7"/>
        </w:rPr>
        <w:t>a. zaškolení a průběžná komunikace s odpovědnými pracovníky (účetní, projektový manažer apod.)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rStyle w:val="CharStyle7"/>
          <w:b/>
          <w:bCs/>
          <w:i/>
          <w:iCs/>
        </w:rPr>
        <w:t>Poradenská a konzultační činnost k realizaci a řízení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0" w:val="left"/>
        </w:tabs>
        <w:bidi w:val="0"/>
        <w:spacing w:before="0" w:after="0"/>
        <w:ind w:left="1100" w:right="0" w:hanging="360"/>
        <w:jc w:val="both"/>
      </w:pPr>
      <w:r>
        <w:rPr>
          <w:rStyle w:val="CharStyle7"/>
        </w:rPr>
        <w:t>poradenství a konzultace k metodice monitorovacích indikátorů, metodice řízení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03" w:val="left"/>
        </w:tabs>
        <w:bidi w:val="0"/>
        <w:spacing w:before="0" w:after="0"/>
        <w:ind w:left="1100" w:right="0" w:hanging="360"/>
        <w:jc w:val="both"/>
      </w:pPr>
      <w:r>
        <w:rPr>
          <w:rStyle w:val="CharStyle7"/>
        </w:rPr>
        <w:t>příprava vzorových pracovně-právních smluv a dohod na účast v projektu pro účastníky aktivit v rámci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sledování plnění monitorovacích indikátorů, průběžné vyhodnocování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4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konzultace k výkazům práce realizačního týmu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0" w:val="left"/>
        </w:tabs>
        <w:bidi w:val="0"/>
        <w:spacing w:before="0" w:after="0"/>
        <w:ind w:left="1100" w:right="0" w:hanging="360"/>
        <w:jc w:val="both"/>
      </w:pPr>
      <w:r>
        <w:rPr>
          <w:rStyle w:val="CharStyle7"/>
        </w:rPr>
        <w:t>sledování čerpání finančních prostředků dle rozpočtu projektu a harmonogramu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55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poradenství a konzultace k uznatelnosti výdajů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4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poradenství a konzultace ohledně příjmů projektu (pokud projekt příjmy generuje)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příprava podkladů pro publicitu projektu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0" w:val="left"/>
        </w:tabs>
        <w:bidi w:val="0"/>
        <w:spacing w:before="0" w:after="0"/>
        <w:ind w:left="1100" w:right="0" w:hanging="360"/>
        <w:jc w:val="left"/>
      </w:pPr>
      <w:r>
        <w:rPr>
          <w:rStyle w:val="CharStyle7"/>
        </w:rPr>
        <w:t>příprava podkladů k případným podstatným i nepodstatným změnám projektu, zpracování změnových řízení, změnám harmonogramu projektu a rozpočtu projektu a jejich konzultace se zástupci poskytovatele podpory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55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v případě pověření - komunikace a konzultace se zástupci poskytovatele podpory</w:t>
      </w:r>
    </w:p>
    <w:p>
      <w:pPr>
        <w:pStyle w:val="Style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98" w:val="left"/>
        </w:tabs>
        <w:bidi w:val="0"/>
        <w:spacing w:before="0" w:after="260"/>
        <w:ind w:left="1100" w:right="0" w:hanging="360"/>
        <w:jc w:val="both"/>
      </w:pPr>
      <w:r>
        <w:rPr>
          <w:rStyle w:val="CharStyle7"/>
        </w:rPr>
        <w:t>poradenství a konzultace k podkladům pro případnou kontrolu tzv. pověřených osob (poskytovatele podpory, Řídícího orgánu, NKU, FÚ, Evropské komise atd.)</w:t>
      </w:r>
    </w:p>
    <w:p>
      <w:pPr>
        <w:pStyle w:val="Style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rStyle w:val="CharStyle7"/>
          <w:b/>
          <w:bCs/>
          <w:i/>
          <w:iCs/>
        </w:rPr>
        <w:t>Monitoring projektu ve spolupráci s Příjemcem dotace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Zpracování 1 části monitorovací zprávy: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50" w:val="left"/>
        </w:tabs>
        <w:bidi w:val="0"/>
        <w:spacing w:before="0" w:after="0"/>
        <w:ind w:left="1380" w:right="0" w:firstLine="0"/>
        <w:jc w:val="left"/>
      </w:pPr>
      <w:r>
        <w:rPr>
          <w:rStyle w:val="CharStyle7"/>
        </w:rPr>
        <w:t>popis monitorovacích indikátorů,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50" w:val="left"/>
        </w:tabs>
        <w:bidi w:val="0"/>
        <w:spacing w:before="0" w:after="0"/>
        <w:ind w:left="1380" w:right="0" w:firstLine="0"/>
        <w:jc w:val="left"/>
      </w:pPr>
      <w:r>
        <w:rPr>
          <w:rStyle w:val="CharStyle7"/>
        </w:rPr>
        <w:t>popis realizace výběrového řízení,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15" w:val="left"/>
        </w:tabs>
        <w:bidi w:val="0"/>
        <w:spacing w:before="0" w:after="0"/>
        <w:ind w:left="1380" w:right="0" w:firstLine="0"/>
        <w:jc w:val="both"/>
      </w:pPr>
      <w:r>
        <w:rPr>
          <w:rStyle w:val="CharStyle7"/>
        </w:rPr>
        <w:t>výpočet veřejné podpory,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86" w:val="left"/>
        </w:tabs>
        <w:bidi w:val="0"/>
        <w:spacing w:before="0" w:after="0"/>
        <w:ind w:left="1380" w:right="0" w:firstLine="0"/>
        <w:jc w:val="both"/>
      </w:pPr>
      <w:r>
        <w:rPr>
          <w:rStyle w:val="CharStyle7"/>
        </w:rPr>
        <w:t>popis realizované publicity,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750" w:val="left"/>
        </w:tabs>
        <w:bidi w:val="0"/>
        <w:spacing w:before="0" w:after="0"/>
        <w:ind w:left="1380" w:right="0" w:firstLine="0"/>
        <w:jc w:val="left"/>
      </w:pPr>
      <w:r>
        <w:rPr>
          <w:rStyle w:val="CharStyle7"/>
        </w:rPr>
        <w:t>výpočet finančního plánu na další období,</w:t>
      </w:r>
    </w:p>
    <w:p>
      <w:pPr>
        <w:pStyle w:val="Style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06" w:val="left"/>
        </w:tabs>
        <w:bidi w:val="0"/>
        <w:spacing w:before="0" w:after="0"/>
        <w:ind w:left="1380" w:right="0" w:firstLine="0"/>
        <w:jc w:val="both"/>
      </w:pPr>
      <w:r>
        <w:rPr>
          <w:rStyle w:val="CharStyle7"/>
        </w:rPr>
        <w:t>úprava harmonogramu realizace.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103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Zpracování 2 části monitorovací zprávy: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750" w:val="left"/>
        </w:tabs>
        <w:bidi w:val="0"/>
        <w:spacing w:before="0" w:after="0"/>
        <w:ind w:left="1820" w:right="0" w:hanging="380"/>
        <w:jc w:val="both"/>
      </w:pPr>
      <w:r>
        <w:rPr>
          <w:rStyle w:val="CharStyle7"/>
        </w:rPr>
        <w:t>popis realizovaných klíčových aktivit (detailní popis práce realizačního týmu, popis realizovaných vzdělávacích aktivit (školení),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808" w:val="left"/>
        </w:tabs>
        <w:bidi w:val="0"/>
        <w:spacing w:before="0" w:after="0"/>
        <w:ind w:left="1820" w:right="0" w:hanging="380"/>
        <w:jc w:val="both"/>
      </w:pPr>
      <w:r>
        <w:rPr>
          <w:rStyle w:val="CharStyle7"/>
        </w:rPr>
        <w:t>popis plánovaných klíčových aktivit (popis plánu činností realizačního týmu, stanovení termínů školení, popis náplně klíčové aktivity),</w:t>
      </w:r>
    </w:p>
    <w:p>
      <w:pPr>
        <w:pStyle w:val="Style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875" w:val="left"/>
        </w:tabs>
        <w:bidi w:val="0"/>
        <w:spacing w:before="0" w:after="0"/>
        <w:ind w:left="1820" w:right="0" w:hanging="380"/>
        <w:jc w:val="both"/>
      </w:pPr>
      <w:r>
        <w:rPr>
          <w:rStyle w:val="CharStyle7"/>
        </w:rPr>
        <w:t>popis změn v projektu (popis změn harmonogramu, rozpočtu atd. – důvody a přijatá opatření).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84" w:val="left"/>
        </w:tabs>
        <w:bidi w:val="0"/>
        <w:spacing w:before="0" w:after="0"/>
        <w:ind w:left="0" w:right="0" w:firstLine="740"/>
        <w:jc w:val="both"/>
      </w:pPr>
      <w:r>
        <w:rPr>
          <w:rStyle w:val="CharStyle7"/>
        </w:rPr>
        <w:t>Zpracování finanční části monitorovací zprávy: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750" w:val="left"/>
        </w:tabs>
        <w:bidi w:val="0"/>
        <w:spacing w:before="0" w:after="0"/>
        <w:ind w:left="1380" w:right="0" w:firstLine="0"/>
        <w:jc w:val="left"/>
      </w:pPr>
      <w:r>
        <w:rPr>
          <w:rStyle w:val="CharStyle7"/>
        </w:rPr>
        <w:t>zpracovaní rozpisu mzdových výdajů,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750" w:val="left"/>
        </w:tabs>
        <w:bidi w:val="0"/>
        <w:spacing w:before="0" w:after="0"/>
        <w:ind w:left="1380" w:right="0" w:firstLine="0"/>
        <w:jc w:val="left"/>
      </w:pPr>
      <w:r>
        <w:rPr>
          <w:rStyle w:val="CharStyle7"/>
        </w:rPr>
        <w:t>zpracování soupisky účetních dokladů,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815" w:val="left"/>
        </w:tabs>
        <w:bidi w:val="0"/>
        <w:spacing w:before="0" w:after="0"/>
        <w:ind w:left="1380" w:right="0" w:firstLine="0"/>
        <w:jc w:val="both"/>
      </w:pPr>
      <w:r>
        <w:rPr>
          <w:rStyle w:val="CharStyle7"/>
        </w:rPr>
        <w:t>zpracování přehledu čerpání,</w:t>
      </w:r>
    </w:p>
    <w:p>
      <w:pPr>
        <w:pStyle w:val="Style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786" w:val="left"/>
        </w:tabs>
        <w:bidi w:val="0"/>
        <w:spacing w:before="0" w:after="420"/>
        <w:ind w:left="1380" w:right="0" w:firstLine="0"/>
        <w:jc w:val="both"/>
      </w:pPr>
      <w:r>
        <w:rPr>
          <w:rStyle w:val="CharStyle7"/>
        </w:rPr>
        <w:t>zpracování žádosti o platbu.</w:t>
      </w:r>
    </w:p>
    <w:p>
      <w:pPr>
        <w:pStyle w:val="Style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095" w:val="left"/>
        </w:tabs>
        <w:bidi w:val="0"/>
        <w:spacing w:before="0" w:after="0"/>
        <w:ind w:left="1100" w:right="0" w:hanging="360"/>
        <w:jc w:val="both"/>
      </w:pPr>
      <w:r>
        <w:rPr>
          <w:rStyle w:val="CharStyle7"/>
        </w:rPr>
        <w:t>Zpracování případných oprav a doplnění informací o pokroku v realizaci projektu, zpráv o realizaci projektu a žádostí o platbu na základě připomínek objednatele nebo řídícího orgánu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25" w:right="1008" w:bottom="623" w:left="1086" w:header="397" w:footer="19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1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16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18">
    <w:multiLevelType w:val="multilevel"/>
    <w:lvl w:ilvl="0">
      <w:start w:val="1"/>
      <w:numFmt w:val="low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20">
    <w:multiLevelType w:val="multilevel"/>
    <w:lvl w:ilvl="0">
      <w:start w:val="1"/>
      <w:numFmt w:val="low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abstractNum w:abstractNumId="22">
    <w:multiLevelType w:val="multilevel"/>
    <w:lvl w:ilvl="0">
      <w:start w:val="1"/>
      <w:numFmt w:val="low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Nadpis #3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Nadpis #4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1_"/>
    <w:basedOn w:val="DefaultParagraphFont"/>
    <w:link w:val="Style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Základní text (2)_"/>
    <w:basedOn w:val="DefaultParagraphFont"/>
    <w:link w:val="Style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4">
    <w:name w:val="Nadpis #2_"/>
    <w:basedOn w:val="DefaultParagraphFont"/>
    <w:link w:val="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z w:val="36"/>
      <w:szCs w:val="36"/>
      <w:u w:val="none"/>
    </w:rPr>
  </w:style>
  <w:style w:type="paragraph" w:customStyle="1" w:styleId="Style2">
    <w:name w:val="Nadpis #3"/>
    <w:basedOn w:val="Normal"/>
    <w:link w:val="CharStyle3"/>
    <w:pPr>
      <w:widowControl w:val="0"/>
      <w:shd w:val="clear" w:color="auto" w:fill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Nadpis #4"/>
    <w:basedOn w:val="Normal"/>
    <w:link w:val="CharStyle5"/>
    <w:pPr>
      <w:widowControl w:val="0"/>
      <w:shd w:val="clear" w:color="auto" w:fill="auto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auto"/>
      <w:outlineLvl w:val="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auto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auto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auto"/>
      <w:spacing w:after="56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7"/>
      <w:sz w:val="36"/>
      <w:szCs w:val="3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_OPJAKII Sablony_smlouva_typebo_</dc:title>
  <dc:subject/>
  <dc:creator/>
  <cp:keywords/>
</cp:coreProperties>
</file>