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33" w:rsidRDefault="00204033">
      <w:pPr>
        <w:pStyle w:val="Nadpis10"/>
        <w:keepNext/>
        <w:keepLines/>
      </w:pPr>
      <w:bookmarkStart w:id="0" w:name="_GoBack"/>
      <w:bookmarkEnd w:id="0"/>
    </w:p>
    <w:p w:rsidR="00204033" w:rsidRDefault="0088278D">
      <w:pPr>
        <w:pStyle w:val="Zkladntext20"/>
        <w:sectPr w:rsidR="00204033">
          <w:footerReference w:type="default" r:id="rId7"/>
          <w:pgSz w:w="11900" w:h="16840"/>
          <w:pgMar w:top="498" w:right="855" w:bottom="1540" w:left="8617" w:header="70" w:footer="3" w:gutter="0"/>
          <w:pgNumType w:start="1"/>
          <w:cols w:space="720"/>
          <w:noEndnote/>
          <w:docGrid w:linePitch="360"/>
        </w:sectPr>
      </w:pPr>
      <w:r>
        <w:rPr>
          <w:rStyle w:val="Zkladntext2"/>
        </w:rPr>
        <w:t>2025005244</w:t>
      </w:r>
    </w:p>
    <w:p w:rsidR="00204033" w:rsidRDefault="0088278D">
      <w:pPr>
        <w:pStyle w:val="Zkladntext1"/>
        <w:framePr w:w="1603" w:h="259" w:wrap="none" w:vAnchor="text" w:hAnchor="page" w:x="5166" w:y="21"/>
        <w:spacing w:after="0"/>
      </w:pPr>
      <w:r>
        <w:rPr>
          <w:rStyle w:val="Zkladntext"/>
          <w:b/>
          <w:bCs/>
          <w:u w:val="single"/>
        </w:rPr>
        <w:t>Smlouva o dílo</w:t>
      </w:r>
    </w:p>
    <w:p w:rsidR="00204033" w:rsidRDefault="0088278D">
      <w:pPr>
        <w:pStyle w:val="Zkladntext1"/>
        <w:framePr w:w="8395" w:h="542" w:wrap="none" w:vAnchor="text" w:hAnchor="page" w:x="1773" w:y="366"/>
        <w:spacing w:after="0" w:line="262" w:lineRule="auto"/>
        <w:jc w:val="center"/>
      </w:pPr>
      <w:r>
        <w:rPr>
          <w:rStyle w:val="Zkladntext"/>
        </w:rPr>
        <w:t xml:space="preserve">uzavřená v souladu s ustanovením § 2586 a násl. zákona č. </w:t>
      </w:r>
      <w:r>
        <w:rPr>
          <w:rStyle w:val="Zkladntext"/>
        </w:rPr>
        <w:t>89/2012 Sb. občanského</w:t>
      </w:r>
      <w:r>
        <w:rPr>
          <w:rStyle w:val="Zkladntext"/>
        </w:rPr>
        <w:br/>
        <w:t>zákoníku, mezi níže uvedenými smluvními stranami</w:t>
      </w:r>
    </w:p>
    <w:p w:rsidR="00204033" w:rsidRDefault="0088278D">
      <w:pPr>
        <w:pStyle w:val="Zkladntext1"/>
        <w:framePr w:w="691" w:h="250" w:wrap="none" w:vAnchor="text" w:hAnchor="page" w:x="1398" w:y="1369"/>
        <w:spacing w:after="0"/>
      </w:pPr>
      <w:r>
        <w:rPr>
          <w:rStyle w:val="Zkladntext"/>
        </w:rPr>
        <w:t>Jméno:</w:t>
      </w:r>
    </w:p>
    <w:p w:rsidR="00204033" w:rsidRDefault="0088278D">
      <w:pPr>
        <w:pStyle w:val="Zkladntext1"/>
        <w:framePr w:w="2669" w:h="1642" w:wrap="none" w:vAnchor="text" w:hAnchor="page" w:x="1394" w:y="1835"/>
        <w:spacing w:after="0"/>
      </w:pPr>
      <w:r>
        <w:rPr>
          <w:rStyle w:val="Zkladntext"/>
        </w:rPr>
        <w:t>Sídlo:</w:t>
      </w:r>
    </w:p>
    <w:p w:rsidR="00204033" w:rsidRDefault="0088278D">
      <w:pPr>
        <w:pStyle w:val="Zkladntext1"/>
        <w:framePr w:w="2669" w:h="1642" w:wrap="none" w:vAnchor="text" w:hAnchor="page" w:x="1394" w:y="1835"/>
        <w:spacing w:after="0"/>
      </w:pPr>
      <w:r>
        <w:rPr>
          <w:rStyle w:val="Zkladntext"/>
        </w:rPr>
        <w:t>Jednající:</w:t>
      </w:r>
    </w:p>
    <w:p w:rsidR="00204033" w:rsidRDefault="0088278D">
      <w:pPr>
        <w:pStyle w:val="Zkladntext1"/>
        <w:framePr w:w="2669" w:h="1642" w:wrap="none" w:vAnchor="text" w:hAnchor="page" w:x="1394" w:y="1835"/>
        <w:spacing w:after="0"/>
      </w:pPr>
      <w:r>
        <w:rPr>
          <w:rStyle w:val="Zkladntext"/>
        </w:rPr>
        <w:t>Kontaktní osoba:</w:t>
      </w:r>
    </w:p>
    <w:p w:rsidR="00204033" w:rsidRDefault="0088278D">
      <w:pPr>
        <w:pStyle w:val="Zkladntext1"/>
        <w:framePr w:w="2669" w:h="1642" w:wrap="none" w:vAnchor="text" w:hAnchor="page" w:x="1394" w:y="1835"/>
        <w:spacing w:after="0"/>
      </w:pPr>
      <w:r>
        <w:rPr>
          <w:rStyle w:val="Zkladntext"/>
        </w:rPr>
        <w:t>IČO:</w:t>
      </w:r>
    </w:p>
    <w:p w:rsidR="00204033" w:rsidRDefault="0088278D">
      <w:pPr>
        <w:pStyle w:val="Zkladntext1"/>
        <w:framePr w:w="2669" w:h="1642" w:wrap="none" w:vAnchor="text" w:hAnchor="page" w:x="1394" w:y="1835"/>
        <w:spacing w:after="0"/>
      </w:pPr>
      <w:r>
        <w:rPr>
          <w:rStyle w:val="Zkladntext"/>
        </w:rPr>
        <w:t>DIČ:</w:t>
      </w:r>
    </w:p>
    <w:p w:rsidR="00204033" w:rsidRDefault="0088278D">
      <w:pPr>
        <w:pStyle w:val="Zkladntext1"/>
        <w:framePr w:w="2669" w:h="1642" w:wrap="none" w:vAnchor="text" w:hAnchor="page" w:x="1394" w:y="1835"/>
        <w:spacing w:after="0"/>
      </w:pPr>
      <w:r>
        <w:rPr>
          <w:rStyle w:val="Zkladntext"/>
        </w:rPr>
        <w:t>Zápis v OR:</w:t>
      </w:r>
    </w:p>
    <w:p w:rsidR="00204033" w:rsidRDefault="0088278D">
      <w:pPr>
        <w:pStyle w:val="Zkladntext1"/>
        <w:framePr w:w="2669" w:h="1642" w:wrap="none" w:vAnchor="text" w:hAnchor="page" w:x="1394" w:y="1835"/>
        <w:spacing w:after="0"/>
      </w:pPr>
      <w:r>
        <w:rPr>
          <w:rStyle w:val="Zkladntext"/>
        </w:rPr>
        <w:t>Bankovní spojení (číslo účtu):</w:t>
      </w:r>
    </w:p>
    <w:p w:rsidR="00204033" w:rsidRDefault="0088278D">
      <w:pPr>
        <w:pStyle w:val="Nadpis30"/>
        <w:keepNext/>
        <w:keepLines/>
        <w:framePr w:w="5242" w:h="2098" w:wrap="none" w:vAnchor="text" w:hAnchor="page" w:x="4936" w:y="1388"/>
        <w:ind w:left="0"/>
      </w:pPr>
      <w:bookmarkStart w:id="1" w:name="bookmark2"/>
      <w:r>
        <w:rPr>
          <w:rStyle w:val="Nadpis3"/>
          <w:b/>
          <w:bCs/>
        </w:rPr>
        <w:t>Zdravotnická záchranná služba Jihomoravského kraje, příspěvková organizace</w:t>
      </w:r>
      <w:bookmarkEnd w:id="1"/>
    </w:p>
    <w:p w:rsidR="00204033" w:rsidRDefault="0088278D">
      <w:pPr>
        <w:pStyle w:val="Zkladntext1"/>
        <w:framePr w:w="5242" w:h="2098" w:wrap="none" w:vAnchor="text" w:hAnchor="page" w:x="4936" w:y="1388"/>
        <w:spacing w:after="0"/>
      </w:pPr>
      <w:r>
        <w:rPr>
          <w:rStyle w:val="Zkladntext"/>
        </w:rPr>
        <w:t>Kamenice 798/1</w:t>
      </w:r>
      <w:r>
        <w:rPr>
          <w:rStyle w:val="Zkladntext"/>
        </w:rPr>
        <w:t xml:space="preserve"> d, 625 00 Brno</w:t>
      </w:r>
    </w:p>
    <w:p w:rsidR="00204033" w:rsidRDefault="0088278D">
      <w:pPr>
        <w:pStyle w:val="Zkladntext1"/>
        <w:framePr w:w="5242" w:h="2098" w:wrap="none" w:vAnchor="text" w:hAnchor="page" w:x="4936" w:y="1388"/>
        <w:spacing w:after="0"/>
      </w:pPr>
      <w:r>
        <w:rPr>
          <w:rStyle w:val="Zkladntext"/>
        </w:rPr>
        <w:t>MUDr. Hana Albrechtová, ředitelka</w:t>
      </w:r>
    </w:p>
    <w:p w:rsidR="00204033" w:rsidRDefault="0088278D">
      <w:pPr>
        <w:pStyle w:val="Zkladntext1"/>
        <w:framePr w:w="5242" w:h="2098" w:wrap="none" w:vAnchor="text" w:hAnchor="page" w:x="4936" w:y="1388"/>
        <w:spacing w:after="0"/>
      </w:pPr>
      <w:proofErr w:type="gramStart"/>
      <w:r>
        <w:rPr>
          <w:rStyle w:val="Zkladntext"/>
          <w:spacing w:val="4"/>
          <w:shd w:val="clear" w:color="auto" w:fill="000000"/>
        </w:rPr>
        <w:t>....</w:t>
      </w:r>
      <w:r>
        <w:rPr>
          <w:rStyle w:val="Zkladntext"/>
          <w:spacing w:val="5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</w:t>
      </w:r>
      <w:r>
        <w:rPr>
          <w:rStyle w:val="Zkladntext"/>
          <w:spacing w:val="1"/>
          <w:shd w:val="clear" w:color="auto" w:fill="000000"/>
        </w:rPr>
        <w:t>...............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..</w:t>
      </w:r>
      <w:r>
        <w:rPr>
          <w:rStyle w:val="Zkladntext"/>
          <w:spacing w:val="9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0"/>
          <w:shd w:val="clear" w:color="auto" w:fill="000000"/>
        </w:rPr>
        <w:t>..</w:t>
      </w:r>
      <w:r>
        <w:rPr>
          <w:rStyle w:val="Zkladntext"/>
          <w:spacing w:val="11"/>
          <w:shd w:val="clear" w:color="auto" w:fill="000000"/>
        </w:rPr>
        <w:t>...</w:t>
      </w:r>
      <w:proofErr w:type="gramEnd"/>
    </w:p>
    <w:p w:rsidR="00204033" w:rsidRDefault="0088278D">
      <w:pPr>
        <w:pStyle w:val="Zkladntext1"/>
        <w:framePr w:w="5242" w:h="2098" w:wrap="none" w:vAnchor="text" w:hAnchor="page" w:x="4936" w:y="1388"/>
        <w:spacing w:after="0"/>
      </w:pPr>
      <w:r>
        <w:rPr>
          <w:rStyle w:val="Zkladntext"/>
        </w:rPr>
        <w:t>00346292</w:t>
      </w:r>
    </w:p>
    <w:p w:rsidR="00204033" w:rsidRDefault="0088278D">
      <w:pPr>
        <w:pStyle w:val="Zkladntext1"/>
        <w:framePr w:w="5242" w:h="2098" w:wrap="none" w:vAnchor="text" w:hAnchor="page" w:x="4936" w:y="1388"/>
        <w:spacing w:after="0"/>
      </w:pPr>
      <w:r>
        <w:rPr>
          <w:rStyle w:val="Zkladntext"/>
        </w:rPr>
        <w:t>CZ00346292</w:t>
      </w:r>
    </w:p>
    <w:p w:rsidR="00204033" w:rsidRDefault="0088278D">
      <w:pPr>
        <w:pStyle w:val="Zkladntext1"/>
        <w:framePr w:w="5242" w:h="2098" w:wrap="none" w:vAnchor="text" w:hAnchor="page" w:x="4936" w:y="1388"/>
        <w:spacing w:after="0"/>
      </w:pPr>
      <w:r>
        <w:rPr>
          <w:rStyle w:val="Zkladntext"/>
        </w:rPr>
        <w:t xml:space="preserve">Krajský soud v Brně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 xml:space="preserve">. zn. </w:t>
      </w:r>
      <w:proofErr w:type="spellStart"/>
      <w:r>
        <w:rPr>
          <w:rStyle w:val="Zkladntext"/>
        </w:rPr>
        <w:t>Pr</w:t>
      </w:r>
      <w:proofErr w:type="spellEnd"/>
      <w:r>
        <w:rPr>
          <w:rStyle w:val="Zkladntext"/>
        </w:rPr>
        <w:t xml:space="preserve"> 1245</w:t>
      </w:r>
    </w:p>
    <w:p w:rsidR="00204033" w:rsidRDefault="0088278D">
      <w:pPr>
        <w:pStyle w:val="Zkladntext1"/>
        <w:framePr w:w="5242" w:h="2098" w:wrap="none" w:vAnchor="text" w:hAnchor="page" w:x="4936" w:y="1388"/>
        <w:spacing w:after="0"/>
      </w:pPr>
      <w:r>
        <w:rPr>
          <w:rStyle w:val="Zkladntext"/>
        </w:rPr>
        <w:t xml:space="preserve">MONETA Money Bank, a s., 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117203514/0600</w:t>
      </w:r>
    </w:p>
    <w:p w:rsidR="00204033" w:rsidRDefault="0088278D">
      <w:pPr>
        <w:pStyle w:val="Zkladntext1"/>
        <w:framePr w:w="3067" w:h="259" w:wrap="none" w:vAnchor="text" w:hAnchor="page" w:x="1398" w:y="3678"/>
        <w:spacing w:after="0"/>
      </w:pPr>
      <w:r>
        <w:rPr>
          <w:rStyle w:val="Zkladntext"/>
        </w:rPr>
        <w:t xml:space="preserve">na straně jedné jako </w:t>
      </w:r>
      <w:r>
        <w:rPr>
          <w:rStyle w:val="Zkladntext"/>
          <w:b/>
          <w:bCs/>
        </w:rPr>
        <w:t>„Objednatel“</w:t>
      </w:r>
    </w:p>
    <w:p w:rsidR="00204033" w:rsidRDefault="0088278D">
      <w:pPr>
        <w:pStyle w:val="Zkladntext1"/>
        <w:framePr w:w="2664" w:h="2117" w:wrap="none" w:vAnchor="text" w:hAnchor="page" w:x="1389" w:y="4595"/>
        <w:spacing w:after="0"/>
      </w:pPr>
      <w:r>
        <w:rPr>
          <w:rStyle w:val="Zkladntext"/>
        </w:rPr>
        <w:t>Jméno:</w:t>
      </w:r>
    </w:p>
    <w:p w:rsidR="00204033" w:rsidRDefault="0088278D">
      <w:pPr>
        <w:pStyle w:val="Zkladntext1"/>
        <w:framePr w:w="2664" w:h="2117" w:wrap="none" w:vAnchor="text" w:hAnchor="page" w:x="1389" w:y="4595"/>
        <w:spacing w:after="0"/>
      </w:pPr>
      <w:r>
        <w:rPr>
          <w:rStyle w:val="Zkladntext"/>
        </w:rPr>
        <w:t>Sídlo:</w:t>
      </w:r>
    </w:p>
    <w:p w:rsidR="00204033" w:rsidRDefault="0088278D">
      <w:pPr>
        <w:pStyle w:val="Zkladntext1"/>
        <w:framePr w:w="2664" w:h="2117" w:wrap="none" w:vAnchor="text" w:hAnchor="page" w:x="1389" w:y="4595"/>
        <w:spacing w:after="0"/>
      </w:pPr>
      <w:r>
        <w:rPr>
          <w:rStyle w:val="Zkladntext"/>
        </w:rPr>
        <w:t>Jednající:</w:t>
      </w:r>
    </w:p>
    <w:p w:rsidR="00204033" w:rsidRDefault="0088278D">
      <w:pPr>
        <w:pStyle w:val="Zkladntext1"/>
        <w:framePr w:w="2664" w:h="2117" w:wrap="none" w:vAnchor="text" w:hAnchor="page" w:x="1389" w:y="4595"/>
        <w:spacing w:after="0"/>
      </w:pPr>
      <w:r>
        <w:rPr>
          <w:rStyle w:val="Zkladntext"/>
        </w:rPr>
        <w:t>Kontaktní osoba:</w:t>
      </w:r>
    </w:p>
    <w:p w:rsidR="00204033" w:rsidRDefault="0088278D">
      <w:pPr>
        <w:pStyle w:val="Zkladntext1"/>
        <w:framePr w:w="2664" w:h="2117" w:wrap="none" w:vAnchor="text" w:hAnchor="page" w:x="1389" w:y="4595"/>
        <w:spacing w:after="0"/>
      </w:pPr>
      <w:r>
        <w:rPr>
          <w:rStyle w:val="Zkladntext"/>
        </w:rPr>
        <w:t>Tel:</w:t>
      </w:r>
    </w:p>
    <w:p w:rsidR="00204033" w:rsidRDefault="0088278D">
      <w:pPr>
        <w:pStyle w:val="Zkladntext1"/>
        <w:framePr w:w="2664" w:h="2117" w:wrap="none" w:vAnchor="text" w:hAnchor="page" w:x="1389" w:y="4595"/>
        <w:spacing w:after="0"/>
      </w:pPr>
      <w:r>
        <w:rPr>
          <w:rStyle w:val="Zkladntext"/>
        </w:rPr>
        <w:t>IČO:</w:t>
      </w:r>
    </w:p>
    <w:p w:rsidR="00204033" w:rsidRDefault="0088278D">
      <w:pPr>
        <w:pStyle w:val="Zkladntext1"/>
        <w:framePr w:w="2664" w:h="2117" w:wrap="none" w:vAnchor="text" w:hAnchor="page" w:x="1389" w:y="4595"/>
        <w:spacing w:after="0"/>
      </w:pPr>
      <w:r>
        <w:rPr>
          <w:rStyle w:val="Zkladntext"/>
        </w:rPr>
        <w:t>DIČ:</w:t>
      </w:r>
    </w:p>
    <w:p w:rsidR="00204033" w:rsidRDefault="0088278D">
      <w:pPr>
        <w:pStyle w:val="Zkladntext1"/>
        <w:framePr w:w="2664" w:h="2117" w:wrap="none" w:vAnchor="text" w:hAnchor="page" w:x="1389" w:y="4595"/>
        <w:spacing w:after="0"/>
      </w:pPr>
      <w:r>
        <w:rPr>
          <w:rStyle w:val="Zkladntext"/>
        </w:rPr>
        <w:t>Zápis v OR:</w:t>
      </w:r>
    </w:p>
    <w:p w:rsidR="00204033" w:rsidRDefault="0088278D">
      <w:pPr>
        <w:pStyle w:val="Zkladntext1"/>
        <w:framePr w:w="2664" w:h="2117" w:wrap="none" w:vAnchor="text" w:hAnchor="page" w:x="1389" w:y="4595"/>
        <w:spacing w:after="0"/>
      </w:pPr>
      <w:r>
        <w:rPr>
          <w:rStyle w:val="Zkladntext"/>
        </w:rPr>
        <w:t>Bankovní spojení (číslo účtu):</w:t>
      </w:r>
    </w:p>
    <w:p w:rsidR="00204033" w:rsidRDefault="0088278D">
      <w:pPr>
        <w:pStyle w:val="Nadpis30"/>
        <w:keepNext/>
        <w:keepLines/>
        <w:framePr w:w="3802" w:h="2102" w:wrap="none" w:vAnchor="text" w:hAnchor="page" w:x="4931" w:y="4609"/>
        <w:ind w:left="0"/>
      </w:pPr>
      <w:bookmarkStart w:id="2" w:name="bookmark4"/>
      <w:proofErr w:type="spellStart"/>
      <w:r>
        <w:rPr>
          <w:rStyle w:val="Nadpis3"/>
          <w:b/>
          <w:bCs/>
        </w:rPr>
        <w:t>Monttel</w:t>
      </w:r>
      <w:proofErr w:type="spellEnd"/>
      <w:r>
        <w:rPr>
          <w:rStyle w:val="Nadpis3"/>
          <w:b/>
          <w:bCs/>
        </w:rPr>
        <w:t xml:space="preserve"> </w:t>
      </w:r>
      <w:proofErr w:type="spellStart"/>
      <w:proofErr w:type="gramStart"/>
      <w:r>
        <w:rPr>
          <w:rStyle w:val="Nadpis3"/>
          <w:b/>
          <w:bCs/>
        </w:rPr>
        <w:t>spol.s</w:t>
      </w:r>
      <w:proofErr w:type="spellEnd"/>
      <w:r>
        <w:rPr>
          <w:rStyle w:val="Nadpis3"/>
          <w:b/>
          <w:bCs/>
        </w:rPr>
        <w:t xml:space="preserve"> r.</w:t>
      </w:r>
      <w:proofErr w:type="gramEnd"/>
      <w:r>
        <w:rPr>
          <w:rStyle w:val="Nadpis3"/>
          <w:b/>
          <w:bCs/>
        </w:rPr>
        <w:t>o.</w:t>
      </w:r>
      <w:bookmarkEnd w:id="2"/>
    </w:p>
    <w:p w:rsidR="00204033" w:rsidRDefault="0088278D">
      <w:pPr>
        <w:pStyle w:val="Zkladntext1"/>
        <w:framePr w:w="3802" w:h="2102" w:wrap="none" w:vAnchor="text" w:hAnchor="page" w:x="4931" w:y="4609"/>
        <w:spacing w:after="0"/>
      </w:pPr>
      <w:r>
        <w:rPr>
          <w:rStyle w:val="Zkladntext"/>
        </w:rPr>
        <w:t>Rybkova 1, 602 00 Brno Marek Ševčík</w:t>
      </w:r>
    </w:p>
    <w:p w:rsidR="00204033" w:rsidRDefault="0088278D">
      <w:pPr>
        <w:pStyle w:val="Zkladntext1"/>
        <w:framePr w:w="3802" w:h="2102" w:wrap="none" w:vAnchor="text" w:hAnchor="page" w:x="4931" w:y="4609"/>
        <w:spacing w:after="0"/>
      </w:pPr>
      <w:r>
        <w:rPr>
          <w:rStyle w:val="Zkladntext"/>
        </w:rPr>
        <w:t xml:space="preserve">Marek </w:t>
      </w:r>
      <w:proofErr w:type="gramStart"/>
      <w:r>
        <w:rPr>
          <w:rStyle w:val="Zkladntext"/>
        </w:rPr>
        <w:t xml:space="preserve">Ševčík 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0"/>
          <w:shd w:val="clear" w:color="auto" w:fill="000000"/>
        </w:rPr>
        <w:t>..</w:t>
      </w:r>
      <w:r>
        <w:rPr>
          <w:rStyle w:val="Zkladntext"/>
          <w:spacing w:val="11"/>
          <w:shd w:val="clear" w:color="auto" w:fill="000000"/>
        </w:rPr>
        <w:t>...</w:t>
      </w:r>
      <w:r>
        <w:rPr>
          <w:rStyle w:val="Zkladntext"/>
        </w:rPr>
        <w:t xml:space="preserve"> 65278208</w:t>
      </w:r>
      <w:proofErr w:type="gramEnd"/>
      <w:r>
        <w:rPr>
          <w:rStyle w:val="Zkladntext"/>
        </w:rPr>
        <w:t xml:space="preserve"> CZ65278208</w:t>
      </w:r>
    </w:p>
    <w:p w:rsidR="00204033" w:rsidRDefault="0088278D">
      <w:pPr>
        <w:pStyle w:val="Zkladntext1"/>
        <w:framePr w:w="3802" w:h="2102" w:wrap="none" w:vAnchor="text" w:hAnchor="page" w:x="4931" w:y="4609"/>
        <w:spacing w:after="0"/>
      </w:pPr>
      <w:r>
        <w:rPr>
          <w:rStyle w:val="Zkladntext"/>
        </w:rPr>
        <w:t>Krajský soud</w:t>
      </w:r>
      <w:r>
        <w:rPr>
          <w:rStyle w:val="Zkladntext"/>
        </w:rPr>
        <w:t xml:space="preserve"> v Brně oddíl C, vložka 23195 ČSOB, </w:t>
      </w:r>
      <w:proofErr w:type="spellStart"/>
      <w:proofErr w:type="gramStart"/>
      <w:r>
        <w:rPr>
          <w:rStyle w:val="Zkladntext"/>
        </w:rPr>
        <w:t>č.ú</w:t>
      </w:r>
      <w:proofErr w:type="spellEnd"/>
      <w:r>
        <w:rPr>
          <w:rStyle w:val="Zkladntext"/>
        </w:rPr>
        <w:t>. 253943082/0300</w:t>
      </w:r>
      <w:proofErr w:type="gramEnd"/>
    </w:p>
    <w:p w:rsidR="00204033" w:rsidRDefault="0088278D">
      <w:pPr>
        <w:pStyle w:val="Zkladntext1"/>
        <w:framePr w:w="3010" w:h="259" w:wrap="none" w:vAnchor="text" w:hAnchor="page" w:x="1394" w:y="6913"/>
        <w:spacing w:after="0"/>
      </w:pPr>
      <w:r>
        <w:rPr>
          <w:rStyle w:val="Zkladntext"/>
        </w:rPr>
        <w:t xml:space="preserve">na straně druhé jako </w:t>
      </w:r>
      <w:r>
        <w:rPr>
          <w:rStyle w:val="Zkladntext"/>
          <w:b/>
          <w:bCs/>
        </w:rPr>
        <w:t>„Zhotovitel“</w:t>
      </w:r>
    </w:p>
    <w:p w:rsidR="00204033" w:rsidRDefault="0088278D">
      <w:pPr>
        <w:pStyle w:val="Nadpis30"/>
        <w:keepNext/>
        <w:keepLines/>
        <w:framePr w:w="5165" w:h="485" w:wrap="none" w:vAnchor="text" w:hAnchor="page" w:x="1389" w:y="8070"/>
        <w:ind w:left="4200"/>
      </w:pPr>
      <w:bookmarkStart w:id="3" w:name="bookmark6"/>
      <w:r>
        <w:rPr>
          <w:rStyle w:val="Nadpis3"/>
          <w:b/>
          <w:bCs/>
        </w:rPr>
        <w:t>1.</w:t>
      </w:r>
      <w:bookmarkEnd w:id="3"/>
    </w:p>
    <w:p w:rsidR="00204033" w:rsidRDefault="0088278D">
      <w:pPr>
        <w:pStyle w:val="Zkladntext1"/>
        <w:framePr w:w="5165" w:h="485" w:wrap="none" w:vAnchor="text" w:hAnchor="page" w:x="1389" w:y="8070"/>
        <w:spacing w:after="0"/>
      </w:pPr>
      <w:r>
        <w:rPr>
          <w:rStyle w:val="Zkladntext"/>
        </w:rPr>
        <w:t>Zhotovitel je osobou oprávněnou k provedení díla dle čl. 2</w:t>
      </w:r>
    </w:p>
    <w:p w:rsidR="00204033" w:rsidRDefault="0088278D">
      <w:pPr>
        <w:pStyle w:val="Zkladntext1"/>
        <w:framePr w:w="9125" w:h="1867" w:wrap="none" w:vAnchor="text" w:hAnchor="page" w:x="1389" w:y="8996"/>
        <w:numPr>
          <w:ilvl w:val="0"/>
          <w:numId w:val="1"/>
        </w:numPr>
        <w:tabs>
          <w:tab w:val="left" w:pos="274"/>
        </w:tabs>
        <w:spacing w:after="220"/>
        <w:ind w:left="280" w:hanging="280"/>
        <w:jc w:val="both"/>
      </w:pPr>
      <w:r>
        <w:rPr>
          <w:rStyle w:val="Zkladntext"/>
        </w:rPr>
        <w:t xml:space="preserve">Zhotovitel se zavazuje v rámci svého oprávnění podle čl. 1 této smlouvy provést pro objednatele dílo </w:t>
      </w:r>
      <w:r>
        <w:rPr>
          <w:rStyle w:val="Zkladntext"/>
        </w:rPr>
        <w:t>spočívající v poskytování technické podpory a oprav a odstraňování poruch telefonního systému objednatele. Bližší vymezení stávajícího systému a předmětu plnění je uvedeno v příloze č. 1, která je nedílnou součástí této smlouvy.</w:t>
      </w:r>
    </w:p>
    <w:p w:rsidR="00204033" w:rsidRDefault="0088278D">
      <w:pPr>
        <w:pStyle w:val="Zkladntext1"/>
        <w:framePr w:w="9125" w:h="1867" w:wrap="none" w:vAnchor="text" w:hAnchor="page" w:x="1389" w:y="8996"/>
        <w:numPr>
          <w:ilvl w:val="0"/>
          <w:numId w:val="1"/>
        </w:numPr>
        <w:tabs>
          <w:tab w:val="left" w:pos="274"/>
        </w:tabs>
        <w:spacing w:after="0"/>
        <w:ind w:left="280" w:hanging="280"/>
        <w:jc w:val="both"/>
      </w:pPr>
      <w:r>
        <w:rPr>
          <w:rStyle w:val="Zkladntext"/>
        </w:rPr>
        <w:t xml:space="preserve">Součástí závazku </w:t>
      </w:r>
      <w:r>
        <w:rPr>
          <w:rStyle w:val="Zkladntext"/>
        </w:rPr>
        <w:t>zhotovitele dle odst. 1 jsou i konzultační služby k systému a poskytnutí odpovídající součinnosti dalším poskytovatelům služeb integrovaných systémů a při implementaci systémů třetích stran.</w:t>
      </w:r>
    </w:p>
    <w:p w:rsidR="00204033" w:rsidRDefault="0088278D">
      <w:pPr>
        <w:pStyle w:val="Zkladntext1"/>
        <w:framePr w:w="9125" w:h="936" w:wrap="none" w:vAnchor="text" w:hAnchor="page" w:x="1384" w:y="11305"/>
        <w:spacing w:after="0"/>
        <w:jc w:val="both"/>
      </w:pPr>
      <w:r>
        <w:rPr>
          <w:rStyle w:val="Zkladntext"/>
        </w:rPr>
        <w:t xml:space="preserve">Zhotovitel se zavazuje postupovat při provádění díla podle čl. 1 </w:t>
      </w:r>
      <w:r>
        <w:rPr>
          <w:rStyle w:val="Zkladntext"/>
        </w:rPr>
        <w:t>této smlouvy s náležitou odbornou péčí, dle příslušných právních předpisů, technických norem a dle průběžných pokynů objednatele. Při provádění díla se pak zhotovitel zavazuje postupovat tak, aby nebyl narušen provoz zdravotnických služeb objednatele.</w:t>
      </w:r>
    </w:p>
    <w:p w:rsidR="00204033" w:rsidRDefault="0088278D">
      <w:pPr>
        <w:pStyle w:val="Zkladntext1"/>
        <w:framePr w:w="9125" w:h="950" w:wrap="none" w:vAnchor="text" w:hAnchor="page" w:x="1384" w:y="12683"/>
        <w:spacing w:after="0"/>
      </w:pPr>
      <w:r>
        <w:rPr>
          <w:rStyle w:val="Zkladntext"/>
        </w:rPr>
        <w:t>Zhot</w:t>
      </w:r>
      <w:r>
        <w:rPr>
          <w:rStyle w:val="Zkladntext"/>
        </w:rPr>
        <w:t xml:space="preserve">ovitel se zavazuje plnit svůj závazek k provádění díla podle čl. 2 na základě jednotlivých výzev objednatele této smlouvy ve lhůtách podle přílohy č. 1 k této smlouvě. Za výzvu dle věty první se považuje nahlášení na kontaktní místo zhotovitele (Hot-line) </w:t>
      </w:r>
      <w:r>
        <w:rPr>
          <w:rStyle w:val="Zkladntext"/>
        </w:rPr>
        <w:t xml:space="preserve">prostřednictvím </w:t>
      </w:r>
      <w:proofErr w:type="spellStart"/>
      <w:r>
        <w:rPr>
          <w:rStyle w:val="Zkladntext"/>
        </w:rPr>
        <w:t>helpdesk</w:t>
      </w:r>
      <w:proofErr w:type="spellEnd"/>
      <w:r>
        <w:rPr>
          <w:rStyle w:val="Zkladntext"/>
        </w:rPr>
        <w:t xml:space="preserve">, telefonicky nebo elektronickou poštou na </w:t>
      </w:r>
      <w:proofErr w:type="gramStart"/>
      <w:r>
        <w:rPr>
          <w:rStyle w:val="Zkladntext"/>
        </w:rPr>
        <w:t xml:space="preserve">e-mail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proofErr w:type="gramEnd"/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line="360" w:lineRule="exact"/>
      </w:pPr>
    </w:p>
    <w:p w:rsidR="00204033" w:rsidRDefault="00204033">
      <w:pPr>
        <w:spacing w:after="671" w:line="1" w:lineRule="exact"/>
      </w:pPr>
    </w:p>
    <w:p w:rsidR="00204033" w:rsidRDefault="00204033">
      <w:pPr>
        <w:spacing w:line="1" w:lineRule="exact"/>
        <w:sectPr w:rsidR="00204033">
          <w:type w:val="continuous"/>
          <w:pgSz w:w="11900" w:h="16840"/>
          <w:pgMar w:top="498" w:right="855" w:bottom="714" w:left="1383" w:header="0" w:footer="3" w:gutter="0"/>
          <w:cols w:space="720"/>
          <w:noEndnote/>
          <w:docGrid w:linePitch="360"/>
        </w:sectPr>
      </w:pPr>
    </w:p>
    <w:p w:rsidR="00204033" w:rsidRDefault="00204033">
      <w:pPr>
        <w:pStyle w:val="Nadpis30"/>
        <w:keepNext/>
        <w:keepLines/>
        <w:numPr>
          <w:ilvl w:val="0"/>
          <w:numId w:val="2"/>
        </w:numPr>
        <w:ind w:left="0"/>
        <w:jc w:val="center"/>
      </w:pPr>
      <w:bookmarkStart w:id="4" w:name="bookmark8"/>
      <w:bookmarkEnd w:id="4"/>
    </w:p>
    <w:p w:rsidR="00204033" w:rsidRDefault="0088278D">
      <w:pPr>
        <w:pStyle w:val="Zkladntext1"/>
        <w:numPr>
          <w:ilvl w:val="0"/>
          <w:numId w:val="3"/>
        </w:numPr>
        <w:tabs>
          <w:tab w:val="left" w:pos="284"/>
        </w:tabs>
        <w:spacing w:after="120"/>
        <w:jc w:val="both"/>
      </w:pPr>
      <w:r>
        <w:rPr>
          <w:rStyle w:val="Zkladntext"/>
        </w:rPr>
        <w:t xml:space="preserve">Pro případ prodlení zhotovitele s plněním jeho závazků podle čl. 2 odst. 1 této </w:t>
      </w:r>
      <w:r>
        <w:rPr>
          <w:rStyle w:val="Zkladntext"/>
        </w:rPr>
        <w:t>smlouvy ve lhůtách podle čl. 4 je zhotovitel povinen objednateli zaplatit smluvní pokutu, která činí:</w:t>
      </w:r>
    </w:p>
    <w:p w:rsidR="00204033" w:rsidRDefault="0088278D">
      <w:pPr>
        <w:pStyle w:val="Zkladntext1"/>
        <w:numPr>
          <w:ilvl w:val="0"/>
          <w:numId w:val="4"/>
        </w:numPr>
        <w:tabs>
          <w:tab w:val="left" w:pos="707"/>
        </w:tabs>
        <w:spacing w:after="0"/>
        <w:ind w:left="720" w:hanging="440"/>
        <w:jc w:val="both"/>
      </w:pPr>
      <w:r>
        <w:rPr>
          <w:rStyle w:val="Zkladntext"/>
        </w:rPr>
        <w:t xml:space="preserve">5.000,- Kč za nedodržení lhůty pro zahájení odstraňování poruchy dle přílohy č. 1 této smlouvy, a to za každou započatou hodinu prodlení, jedná-li se o </w:t>
      </w:r>
      <w:r>
        <w:rPr>
          <w:rStyle w:val="Zkladntext"/>
        </w:rPr>
        <w:t>lhůtu určenou podle hodin, nebo za každý započatý den prodlení, jedná-li se o lhůtu určenou podle dní.</w:t>
      </w:r>
    </w:p>
    <w:p w:rsidR="00204033" w:rsidRDefault="0088278D">
      <w:pPr>
        <w:pStyle w:val="Zkladntext1"/>
        <w:numPr>
          <w:ilvl w:val="0"/>
          <w:numId w:val="4"/>
        </w:numPr>
        <w:tabs>
          <w:tab w:val="left" w:pos="707"/>
        </w:tabs>
        <w:spacing w:after="220"/>
        <w:ind w:left="720" w:hanging="440"/>
        <w:jc w:val="both"/>
      </w:pPr>
      <w:r>
        <w:rPr>
          <w:rStyle w:val="Zkladntext"/>
        </w:rPr>
        <w:t xml:space="preserve">5.000,- Kč za nedodržení lhůty k odstranění poruchy dle přílohy č. 1 této smlouvy, a to za každou započatou hodinu prodlení, jedná-li se o lhůtu určenou </w:t>
      </w:r>
      <w:r>
        <w:rPr>
          <w:rStyle w:val="Zkladntext"/>
        </w:rPr>
        <w:t>podle hodin, nebo za každý započatý den prodlení, jedná-li se o lhůtu určenou podle dní.</w:t>
      </w:r>
    </w:p>
    <w:p w:rsidR="00204033" w:rsidRDefault="0088278D">
      <w:pPr>
        <w:pStyle w:val="Zkladntext1"/>
        <w:numPr>
          <w:ilvl w:val="0"/>
          <w:numId w:val="3"/>
        </w:numPr>
        <w:tabs>
          <w:tab w:val="left" w:pos="289"/>
        </w:tabs>
        <w:spacing w:after="440"/>
        <w:jc w:val="both"/>
      </w:pPr>
      <w:r>
        <w:rPr>
          <w:rStyle w:val="Zkladntext"/>
        </w:rPr>
        <w:t>Smluvní pokuta dle odst. 1 je splatná do 30 dní ode dne, kdy byla povinné straně doručena písemná výzva k jejímu zaplacení ze strany objednatele, a to na účet objednat</w:t>
      </w:r>
      <w:r>
        <w:rPr>
          <w:rStyle w:val="Zkladntext"/>
        </w:rPr>
        <w:t>ele. V případě písemné dohody smluvních stran může být smluvní pokuta uhrazena i formou poskytnutí slevy z částky účtované pro podporu provozu dle čl. 6, a to ve stejné výši jako je hodnota smluvní pokuty.</w:t>
      </w:r>
    </w:p>
    <w:p w:rsidR="00204033" w:rsidRDefault="00204033">
      <w:pPr>
        <w:pStyle w:val="Nadpis30"/>
        <w:keepNext/>
        <w:keepLines/>
        <w:numPr>
          <w:ilvl w:val="0"/>
          <w:numId w:val="2"/>
        </w:numPr>
        <w:ind w:left="0"/>
        <w:jc w:val="center"/>
      </w:pPr>
      <w:bookmarkStart w:id="5" w:name="bookmark10"/>
      <w:bookmarkEnd w:id="5"/>
    </w:p>
    <w:p w:rsidR="00204033" w:rsidRDefault="0088278D">
      <w:pPr>
        <w:pStyle w:val="Zkladntext1"/>
        <w:spacing w:after="220"/>
        <w:jc w:val="both"/>
      </w:pPr>
      <w:r>
        <w:rPr>
          <w:rStyle w:val="Zkladntext"/>
        </w:rPr>
        <w:t>Objednatel se zavazuje zaplatit zhotoviteli za dí</w:t>
      </w:r>
      <w:r>
        <w:rPr>
          <w:rStyle w:val="Zkladntext"/>
        </w:rPr>
        <w:t xml:space="preserve">lo podle čl. 2 této cenu díla ve výši </w:t>
      </w:r>
      <w:r>
        <w:rPr>
          <w:rStyle w:val="Zkladntext"/>
          <w:b/>
          <w:bCs/>
        </w:rPr>
        <w:t xml:space="preserve">16.500,- Kč měsíčně bez DPH, tj. 19.965,- Kč včetně DPH. </w:t>
      </w:r>
      <w:r>
        <w:rPr>
          <w:rStyle w:val="Zkladntext"/>
        </w:rPr>
        <w:t>Součástí ceny díla budou veškeré ostatní náklady, vynaložené zhotovitelem na splnění jeho závazku podle čl. 2 a 3 této smlouvy v místě plnění v sídle objednatele</w:t>
      </w:r>
      <w:r>
        <w:rPr>
          <w:rStyle w:val="Zkladntext"/>
        </w:rPr>
        <w:t>, a to včetně všech použitých náhradních dílů. Změna ceny je možná v souvislosti se změnou sazby DPH.</w:t>
      </w:r>
    </w:p>
    <w:p w:rsidR="00204033" w:rsidRDefault="00204033">
      <w:pPr>
        <w:pStyle w:val="Nadpis30"/>
        <w:keepNext/>
        <w:keepLines/>
        <w:numPr>
          <w:ilvl w:val="0"/>
          <w:numId w:val="2"/>
        </w:numPr>
        <w:ind w:left="0"/>
        <w:jc w:val="center"/>
      </w:pPr>
      <w:bookmarkStart w:id="6" w:name="bookmark12"/>
      <w:bookmarkEnd w:id="6"/>
    </w:p>
    <w:p w:rsidR="00204033" w:rsidRDefault="0088278D">
      <w:pPr>
        <w:pStyle w:val="Zkladntext1"/>
        <w:spacing w:after="220"/>
        <w:jc w:val="both"/>
      </w:pPr>
      <w:r>
        <w:rPr>
          <w:rStyle w:val="Zkladntext"/>
        </w:rPr>
        <w:t>Cena díla podle čl. 6 této smlouvy bude splatná vždy po skončení příslušného měsíce kalendářního roku za dílo, provedené v tomto měsíci, ve lhůtě do 30 d</w:t>
      </w:r>
      <w:r>
        <w:rPr>
          <w:rStyle w:val="Zkladntext"/>
        </w:rPr>
        <w:t>nů od doručení jejího písemného vyúčtování splňujícího náležitosti daňového dokladu podle obecné závazných právních předpisů (faktury). Na faktuře/daňovém dokladu musí být mimo jiné vždy uvedeno toto číslo veřejné zakázky, ke které se faktura/daňový doklad</w:t>
      </w:r>
      <w:r>
        <w:rPr>
          <w:rStyle w:val="Zkladntext"/>
        </w:rPr>
        <w:t xml:space="preserve"> vztahuje: </w:t>
      </w:r>
      <w:r>
        <w:rPr>
          <w:rStyle w:val="Zkladntext"/>
          <w:b/>
          <w:bCs/>
        </w:rPr>
        <w:t xml:space="preserve">P25V00002129. </w:t>
      </w:r>
      <w:r>
        <w:rPr>
          <w:rStyle w:val="Zkladntext"/>
        </w:rPr>
        <w:t xml:space="preserve">Faktura bude doručena rovněž elektronicky na e- </w:t>
      </w:r>
      <w:proofErr w:type="gramStart"/>
      <w:r>
        <w:rPr>
          <w:rStyle w:val="Zkladntext"/>
        </w:rPr>
        <w:t xml:space="preserve">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7"/>
          <w:shd w:val="clear" w:color="auto" w:fill="000000"/>
        </w:rPr>
        <w:t>.</w:t>
      </w:r>
      <w:r>
        <w:rPr>
          <w:rStyle w:val="Zkladntext"/>
          <w:spacing w:val="28"/>
          <w:shd w:val="clear" w:color="auto" w:fill="000000"/>
        </w:rPr>
        <w:t>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color w:val="3177B4"/>
          <w:lang w:val="en-US" w:eastAsia="en-US" w:bidi="en-US"/>
        </w:rPr>
        <w:t xml:space="preserve"> </w:t>
      </w:r>
      <w:r>
        <w:rPr>
          <w:rStyle w:val="Zkladntext"/>
        </w:rPr>
        <w:t>Nebude</w:t>
      </w:r>
      <w:proofErr w:type="gramEnd"/>
      <w:r>
        <w:rPr>
          <w:rStyle w:val="Zkladntext"/>
        </w:rPr>
        <w:t>-li faktura splňovat veškeré náležitosti daňového dokladu podle zákona a další náležitosti pod</w:t>
      </w:r>
      <w:r>
        <w:rPr>
          <w:rStyle w:val="Zkladntext"/>
        </w:rPr>
        <w:t>le této smlouvy, je objednatel oprávněn vrátit takovou fakturu zhotoviteli k opravě, přičemž doba její splatnosti začne znovu celá běžet ode dne doručení opravené faktury kupujícímu.</w:t>
      </w:r>
    </w:p>
    <w:p w:rsidR="00204033" w:rsidRDefault="00204033">
      <w:pPr>
        <w:pStyle w:val="Nadpis30"/>
        <w:keepNext/>
        <w:keepLines/>
        <w:numPr>
          <w:ilvl w:val="0"/>
          <w:numId w:val="2"/>
        </w:numPr>
        <w:ind w:left="4180"/>
        <w:jc w:val="both"/>
      </w:pPr>
      <w:bookmarkStart w:id="7" w:name="bookmark14"/>
      <w:bookmarkEnd w:id="7"/>
    </w:p>
    <w:p w:rsidR="00204033" w:rsidRDefault="0088278D">
      <w:pPr>
        <w:pStyle w:val="Zkladntext1"/>
        <w:spacing w:after="220"/>
        <w:jc w:val="both"/>
      </w:pPr>
      <w:r>
        <w:rPr>
          <w:rStyle w:val="Zkladntext"/>
        </w:rPr>
        <w:t>Pro případ prodlení s úhradou ceny díla ve lhůtě podle čl. 7 této smlouv</w:t>
      </w:r>
      <w:r>
        <w:rPr>
          <w:rStyle w:val="Zkladntext"/>
        </w:rPr>
        <w:t>y se objednatel zavazuje zaplatit zhotoviteli úrok z prodlení ve výši dle zákona.</w:t>
      </w:r>
    </w:p>
    <w:p w:rsidR="00204033" w:rsidRDefault="00204033">
      <w:pPr>
        <w:pStyle w:val="Nadpis30"/>
        <w:keepNext/>
        <w:keepLines/>
        <w:numPr>
          <w:ilvl w:val="0"/>
          <w:numId w:val="2"/>
        </w:numPr>
        <w:ind w:left="4180"/>
        <w:jc w:val="both"/>
      </w:pPr>
      <w:bookmarkStart w:id="8" w:name="bookmark16"/>
      <w:bookmarkEnd w:id="8"/>
    </w:p>
    <w:p w:rsidR="00204033" w:rsidRDefault="0088278D">
      <w:pPr>
        <w:pStyle w:val="Zkladntext1"/>
        <w:spacing w:after="220"/>
        <w:jc w:val="both"/>
      </w:pPr>
      <w:r>
        <w:rPr>
          <w:rStyle w:val="Zkladntext"/>
        </w:rPr>
        <w:t xml:space="preserve">Zhotovitel odpovídá objednateli za to, že dílo podle čl. 2 této smlouvy bude odpovídat tuzemským právním předpisům, technickým a jiným normám, a to po celou dobu, po kterou </w:t>
      </w:r>
      <w:r>
        <w:rPr>
          <w:rStyle w:val="Zkladntext"/>
        </w:rPr>
        <w:t>to bude mít pro objednatele ekonomický či jiný význam. V tomto smyslu se zhotovitel zavazuje bezplatně odstraňovat zjištěné a reklamované vady díla, nedohodnou-li se obě strany v jednotlivém případě jinak.</w:t>
      </w:r>
    </w:p>
    <w:p w:rsidR="00204033" w:rsidRDefault="00204033">
      <w:pPr>
        <w:pStyle w:val="Nadpis30"/>
        <w:keepNext/>
        <w:keepLines/>
        <w:numPr>
          <w:ilvl w:val="0"/>
          <w:numId w:val="2"/>
        </w:numPr>
        <w:ind w:left="4180"/>
        <w:jc w:val="both"/>
      </w:pPr>
      <w:bookmarkStart w:id="9" w:name="bookmark18"/>
      <w:bookmarkEnd w:id="9"/>
    </w:p>
    <w:p w:rsidR="00204033" w:rsidRDefault="0088278D">
      <w:pPr>
        <w:pStyle w:val="Zkladntext1"/>
        <w:spacing w:after="220"/>
        <w:jc w:val="both"/>
      </w:pPr>
      <w:r>
        <w:rPr>
          <w:rStyle w:val="Zkladntext"/>
        </w:rPr>
        <w:t>Pro případ sporu o oprávněnost reklamace se objed</w:t>
      </w:r>
      <w:r>
        <w:rPr>
          <w:rStyle w:val="Zkladntext"/>
        </w:rPr>
        <w:t xml:space="preserve">nateli vyhrazuje právo nechat vyhotovit k prověření jakosti díla soudně znalecký posudek, jehož výroku se obě strany zavazují podřizovat </w:t>
      </w:r>
      <w:proofErr w:type="spellStart"/>
      <w:r>
        <w:rPr>
          <w:rStyle w:val="Zkladntext"/>
        </w:rPr>
        <w:t>stím</w:t>
      </w:r>
      <w:proofErr w:type="spellEnd"/>
      <w:r>
        <w:rPr>
          <w:rStyle w:val="Zkladntext"/>
        </w:rPr>
        <w:t>, že náklady na vyhotovení tohoto posudku se zavazuje nést ten účastník sporu, kterému tento posudek nedal za pravd</w:t>
      </w:r>
      <w:r>
        <w:rPr>
          <w:rStyle w:val="Zkladntext"/>
        </w:rPr>
        <w:t>u.</w:t>
      </w:r>
    </w:p>
    <w:p w:rsidR="00204033" w:rsidRDefault="00204033">
      <w:pPr>
        <w:pStyle w:val="Nadpis30"/>
        <w:keepNext/>
        <w:keepLines/>
        <w:numPr>
          <w:ilvl w:val="0"/>
          <w:numId w:val="2"/>
        </w:numPr>
        <w:spacing w:after="120"/>
        <w:ind w:left="0"/>
        <w:jc w:val="center"/>
      </w:pPr>
      <w:bookmarkStart w:id="10" w:name="bookmark20"/>
      <w:bookmarkEnd w:id="10"/>
    </w:p>
    <w:p w:rsidR="00204033" w:rsidRDefault="0088278D">
      <w:pPr>
        <w:pStyle w:val="Zkladntext1"/>
        <w:numPr>
          <w:ilvl w:val="0"/>
          <w:numId w:val="5"/>
        </w:numPr>
        <w:tabs>
          <w:tab w:val="left" w:pos="284"/>
        </w:tabs>
        <w:spacing w:after="220"/>
        <w:ind w:left="280" w:hanging="280"/>
        <w:jc w:val="both"/>
      </w:pPr>
      <w:r>
        <w:rPr>
          <w:rStyle w:val="Zkladntext"/>
        </w:rPr>
        <w:t xml:space="preserve">Zhotovitel se zavazuje zachovat mlčenlivost o všech skutečnostech, týkajících se osobních, majetkových a jiných obdobných poměrů objednatele, jeho zaměstnanců a klientů, s nimiž se při provádění díla podle této smlouvy seznámí. Pro případ pochybností </w:t>
      </w:r>
      <w:r>
        <w:rPr>
          <w:rStyle w:val="Zkladntext"/>
        </w:rPr>
        <w:t>platí, že jde o skutečnost chráněnou mlčenlivostí dle tohoto ujednání této smlouvy. Porušením závazku k povinné mlčenlivosti dle tohoto ujednání není sdělování chráněných skutečností v rámci plnění nějaké oznamovací povinnosti dle zákona. Pro případ poruše</w:t>
      </w:r>
      <w:r>
        <w:rPr>
          <w:rStyle w:val="Zkladntext"/>
        </w:rPr>
        <w:t>ní tohoto závazku zhotovitele se zhotovitel zavazuje zaplatit objednateli smluvní pokutu ve výši 100.000,- Kč za každý zjištěný případ tohoto porušení.</w:t>
      </w:r>
    </w:p>
    <w:p w:rsidR="00204033" w:rsidRDefault="0088278D">
      <w:pPr>
        <w:pStyle w:val="Zkladntext1"/>
        <w:numPr>
          <w:ilvl w:val="0"/>
          <w:numId w:val="5"/>
        </w:numPr>
        <w:tabs>
          <w:tab w:val="left" w:pos="312"/>
        </w:tabs>
        <w:spacing w:after="0"/>
        <w:ind w:left="300" w:hanging="300"/>
        <w:jc w:val="both"/>
      </w:pPr>
      <w:r>
        <w:rPr>
          <w:rStyle w:val="Zkladntext"/>
        </w:rPr>
        <w:t>Ustanoveni odst. 1 včetně výše uvedené smluvní pokuty se přiměřeně uplatní i pro porušení povinností vyp</w:t>
      </w:r>
      <w:r>
        <w:rPr>
          <w:rStyle w:val="Zkladntext"/>
        </w:rPr>
        <w:t>lývajících z obecně závazných předpisů upravujících ochranu osobních údajů ze strany zhotovitele.</w:t>
      </w:r>
    </w:p>
    <w:p w:rsidR="00204033" w:rsidRDefault="00204033">
      <w:pPr>
        <w:pStyle w:val="Nadpis30"/>
        <w:keepNext/>
        <w:keepLines/>
        <w:numPr>
          <w:ilvl w:val="0"/>
          <w:numId w:val="2"/>
        </w:numPr>
        <w:ind w:left="4200"/>
        <w:jc w:val="both"/>
      </w:pPr>
      <w:bookmarkStart w:id="11" w:name="bookmark22"/>
      <w:bookmarkEnd w:id="11"/>
    </w:p>
    <w:p w:rsidR="00204033" w:rsidRDefault="0088278D">
      <w:pPr>
        <w:pStyle w:val="Zkladntext1"/>
        <w:spacing w:after="220"/>
        <w:jc w:val="both"/>
      </w:pPr>
      <w:r>
        <w:rPr>
          <w:rStyle w:val="Zkladntext"/>
        </w:rPr>
        <w:t xml:space="preserve">Není-li touto smlouvou ujednáno jinak, řídí se vzájemný právní vztah mezi zhotovitelem a objednatelem </w:t>
      </w:r>
      <w:proofErr w:type="spellStart"/>
      <w:r>
        <w:rPr>
          <w:rStyle w:val="Zkladntext"/>
        </w:rPr>
        <w:lastRenderedPageBreak/>
        <w:t>ust</w:t>
      </w:r>
      <w:proofErr w:type="spellEnd"/>
      <w:r>
        <w:rPr>
          <w:rStyle w:val="Zkladntext"/>
        </w:rPr>
        <w:t xml:space="preserve">. § 2586 až 2622 občanského zákoníku, přičemž tato </w:t>
      </w:r>
      <w:r>
        <w:rPr>
          <w:rStyle w:val="Zkladntext"/>
        </w:rPr>
        <w:t xml:space="preserve">právní úprava má přednost před nepsanými obchodními zvyklostmi. Tímto ujednáním se přitom vylučuje aplikaci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558 občanského zákoníku na vztah mezi oběma stranami podle této smlouvy.</w:t>
      </w:r>
    </w:p>
    <w:p w:rsidR="00204033" w:rsidRDefault="00204033">
      <w:pPr>
        <w:pStyle w:val="Nadpis30"/>
        <w:keepNext/>
        <w:keepLines/>
        <w:numPr>
          <w:ilvl w:val="0"/>
          <w:numId w:val="2"/>
        </w:numPr>
        <w:ind w:left="4200"/>
        <w:jc w:val="both"/>
      </w:pPr>
      <w:bookmarkStart w:id="12" w:name="bookmark24"/>
      <w:bookmarkEnd w:id="12"/>
    </w:p>
    <w:p w:rsidR="00204033" w:rsidRDefault="0088278D">
      <w:pPr>
        <w:pStyle w:val="Zkladntext1"/>
        <w:numPr>
          <w:ilvl w:val="0"/>
          <w:numId w:val="6"/>
        </w:numPr>
        <w:tabs>
          <w:tab w:val="left" w:pos="302"/>
        </w:tabs>
        <w:spacing w:after="0"/>
        <w:jc w:val="both"/>
      </w:pPr>
      <w:r>
        <w:rPr>
          <w:rStyle w:val="Zkladntext"/>
        </w:rPr>
        <w:t xml:space="preserve">Tato smlouva se uzavírá na dobu určitou, a to do </w:t>
      </w:r>
      <w:r>
        <w:rPr>
          <w:rStyle w:val="Zkladntext"/>
          <w:b/>
          <w:bCs/>
        </w:rPr>
        <w:t>31. 7. 2026.</w:t>
      </w:r>
    </w:p>
    <w:p w:rsidR="00204033" w:rsidRDefault="0088278D">
      <w:pPr>
        <w:pStyle w:val="Zkladntext1"/>
        <w:numPr>
          <w:ilvl w:val="0"/>
          <w:numId w:val="6"/>
        </w:numPr>
        <w:tabs>
          <w:tab w:val="left" w:pos="312"/>
        </w:tabs>
        <w:spacing w:after="0"/>
        <w:jc w:val="both"/>
      </w:pPr>
      <w:r>
        <w:rPr>
          <w:rStyle w:val="Zkladntext"/>
        </w:rPr>
        <w:t xml:space="preserve">Tuto </w:t>
      </w:r>
      <w:r>
        <w:rPr>
          <w:rStyle w:val="Zkladntext"/>
        </w:rPr>
        <w:t>smlouvu lze zrušit pouze písemnou dohodou obou smluvních stran.</w:t>
      </w:r>
    </w:p>
    <w:p w:rsidR="00204033" w:rsidRDefault="0088278D">
      <w:pPr>
        <w:pStyle w:val="Zkladntext1"/>
        <w:numPr>
          <w:ilvl w:val="0"/>
          <w:numId w:val="6"/>
        </w:numPr>
        <w:tabs>
          <w:tab w:val="left" w:pos="307"/>
        </w:tabs>
        <w:spacing w:after="220"/>
        <w:ind w:left="300" w:hanging="300"/>
        <w:jc w:val="both"/>
      </w:pPr>
      <w:r>
        <w:rPr>
          <w:rStyle w:val="Zkladntext"/>
        </w:rPr>
        <w:t>Ze strany objednatele lze tuto smlouvu také ukončit písemnou výpovědí bez udání důvodů, a to s tříměsíční výpovědní lhůtou, která počne běžet prvním dnem měsíce následujícího po doručení výpov</w:t>
      </w:r>
      <w:r>
        <w:rPr>
          <w:rStyle w:val="Zkladntext"/>
        </w:rPr>
        <w:t>ědi zhotoviteli. Tímto ujednáním není dotčeno právo stran odstoupit od této smlouvy za podmínek dle zákona.</w:t>
      </w:r>
    </w:p>
    <w:p w:rsidR="00204033" w:rsidRDefault="00204033">
      <w:pPr>
        <w:pStyle w:val="Nadpis30"/>
        <w:keepNext/>
        <w:keepLines/>
        <w:numPr>
          <w:ilvl w:val="0"/>
          <w:numId w:val="2"/>
        </w:numPr>
        <w:ind w:left="4200"/>
        <w:jc w:val="both"/>
      </w:pPr>
      <w:bookmarkStart w:id="13" w:name="bookmark26"/>
      <w:bookmarkEnd w:id="13"/>
    </w:p>
    <w:p w:rsidR="00204033" w:rsidRDefault="0088278D">
      <w:pPr>
        <w:pStyle w:val="Zkladntext1"/>
        <w:spacing w:after="220"/>
        <w:jc w:val="both"/>
      </w:pPr>
      <w:r>
        <w:rPr>
          <w:rStyle w:val="Zkladntext"/>
        </w:rPr>
        <w:t>Tato smlouva se uzavírá na základě návrhu na její uzavření ze strany objednatele. Předpokladem uzavření této smlouvy je její písemná forma a dohoda</w:t>
      </w:r>
      <w:r>
        <w:rPr>
          <w:rStyle w:val="Zkladntext"/>
        </w:rPr>
        <w:t xml:space="preserve"> o jejích podstatných náležitostech, čímž se rozumí celý obsah této smlouvy, jak je uveden v čl. 1 až 20 této smlouvy. Objednatel přitom předem vylučuje přijetí tohoto návrhu s dodatkem nebo odchylkou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1740 odst. 3 občanského zákoníku.</w:t>
      </w:r>
    </w:p>
    <w:p w:rsidR="00204033" w:rsidRDefault="00204033">
      <w:pPr>
        <w:pStyle w:val="Nadpis30"/>
        <w:keepNext/>
        <w:keepLines/>
        <w:numPr>
          <w:ilvl w:val="0"/>
          <w:numId w:val="2"/>
        </w:numPr>
        <w:ind w:left="4200"/>
        <w:jc w:val="both"/>
      </w:pPr>
      <w:bookmarkStart w:id="14" w:name="bookmark28"/>
      <w:bookmarkEnd w:id="14"/>
    </w:p>
    <w:p w:rsidR="00204033" w:rsidRDefault="0088278D">
      <w:pPr>
        <w:pStyle w:val="Zkladntext1"/>
        <w:spacing w:after="220"/>
        <w:jc w:val="both"/>
      </w:pPr>
      <w:r>
        <w:rPr>
          <w:rStyle w:val="Zkladntext"/>
        </w:rPr>
        <w:t>Obě</w:t>
      </w:r>
      <w:r>
        <w:rPr>
          <w:rStyle w:val="Zkladntext"/>
        </w:rPr>
        <w:t xml:space="preserve"> strany se dohodly, že zaplacením smluvní pokuty podle této smlouvy není nijak dotčeno právo strany na náhradu škody v plné výši. Tímto ujednáním se přitom vylučuje aplikace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2050 na vztah mezi oběma stranami podle této smlouvy.</w:t>
      </w:r>
    </w:p>
    <w:p w:rsidR="00204033" w:rsidRDefault="00204033">
      <w:pPr>
        <w:pStyle w:val="Nadpis30"/>
        <w:keepNext/>
        <w:keepLines/>
        <w:numPr>
          <w:ilvl w:val="0"/>
          <w:numId w:val="2"/>
        </w:numPr>
        <w:ind w:left="4200"/>
        <w:jc w:val="both"/>
      </w:pPr>
      <w:bookmarkStart w:id="15" w:name="bookmark30"/>
      <w:bookmarkEnd w:id="15"/>
    </w:p>
    <w:p w:rsidR="00204033" w:rsidRDefault="0088278D">
      <w:pPr>
        <w:pStyle w:val="Zkladntext1"/>
        <w:spacing w:after="0"/>
        <w:jc w:val="both"/>
      </w:pPr>
      <w:r>
        <w:rPr>
          <w:rStyle w:val="Zkladntext"/>
        </w:rPr>
        <w:t>Tuto smlouvu lze změ</w:t>
      </w:r>
      <w:r>
        <w:rPr>
          <w:rStyle w:val="Zkladntext"/>
        </w:rPr>
        <w:t>nit pouze písemnými vzestupně číslovanými dodatky k této smlouvě podepsanými oběma stranami.</w:t>
      </w:r>
    </w:p>
    <w:p w:rsidR="00204033" w:rsidRDefault="00204033">
      <w:pPr>
        <w:pStyle w:val="Nadpis30"/>
        <w:keepNext/>
        <w:keepLines/>
        <w:numPr>
          <w:ilvl w:val="0"/>
          <w:numId w:val="2"/>
        </w:numPr>
        <w:spacing w:after="120"/>
        <w:ind w:left="4200"/>
        <w:jc w:val="both"/>
      </w:pPr>
      <w:bookmarkStart w:id="16" w:name="bookmark32"/>
      <w:bookmarkEnd w:id="16"/>
    </w:p>
    <w:p w:rsidR="00204033" w:rsidRDefault="0088278D">
      <w:pPr>
        <w:pStyle w:val="Zkladntext1"/>
        <w:spacing w:after="220"/>
        <w:jc w:val="both"/>
      </w:pPr>
      <w:r>
        <w:rPr>
          <w:rStyle w:val="Zkladntext"/>
        </w:rPr>
        <w:t xml:space="preserve">Tato smlouva bude uveřejněna prostřednictvím registru smluv postupem dle zákona č. 340/2015 Sb., o </w:t>
      </w:r>
      <w:r>
        <w:rPr>
          <w:rStyle w:val="Zkladntext"/>
          <w:i/>
          <w:iCs/>
        </w:rPr>
        <w:t>zvláštních podmínkách účinnosti některých smluv,</w:t>
      </w:r>
      <w:r>
        <w:rPr>
          <w:rStyle w:val="Zkladntext"/>
        </w:rPr>
        <w:t xml:space="preserve"> uveřejňování těchto smluv a o registru smluv (zákon o registru smluv), v platném znění. Smluvní strany se dohodly,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objednatel.</w:t>
      </w:r>
    </w:p>
    <w:p w:rsidR="00204033" w:rsidRDefault="00204033">
      <w:pPr>
        <w:pStyle w:val="Nadpis30"/>
        <w:keepNext/>
        <w:keepLines/>
        <w:numPr>
          <w:ilvl w:val="0"/>
          <w:numId w:val="2"/>
        </w:numPr>
        <w:spacing w:after="120"/>
        <w:ind w:left="4200"/>
        <w:jc w:val="both"/>
      </w:pPr>
      <w:bookmarkStart w:id="17" w:name="bookmark34"/>
      <w:bookmarkEnd w:id="17"/>
    </w:p>
    <w:p w:rsidR="00204033" w:rsidRDefault="0088278D">
      <w:pPr>
        <w:pStyle w:val="Zkladntext1"/>
        <w:spacing w:after="220"/>
        <w:jc w:val="both"/>
      </w:pPr>
      <w:r>
        <w:rPr>
          <w:rStyle w:val="Zkladntext"/>
        </w:rPr>
        <w:t>Tato smlouva nabývá platnosti dnem jejího podpisu oběma sm</w:t>
      </w:r>
      <w:r>
        <w:rPr>
          <w:rStyle w:val="Zkladntext"/>
        </w:rPr>
        <w:t>luvními stranami.</w:t>
      </w:r>
    </w:p>
    <w:p w:rsidR="00204033" w:rsidRDefault="0088278D">
      <w:pPr>
        <w:pStyle w:val="Nadpis30"/>
        <w:keepNext/>
        <w:keepLines/>
        <w:ind w:left="4200"/>
        <w:jc w:val="both"/>
      </w:pPr>
      <w:bookmarkStart w:id="18" w:name="bookmark36"/>
      <w:r>
        <w:rPr>
          <w:rStyle w:val="Nadpis3"/>
          <w:b/>
          <w:bCs/>
        </w:rPr>
        <w:t>19.</w:t>
      </w:r>
      <w:bookmarkEnd w:id="18"/>
    </w:p>
    <w:p w:rsidR="00204033" w:rsidRDefault="0088278D">
      <w:pPr>
        <w:pStyle w:val="Zkladntext1"/>
        <w:spacing w:after="220"/>
        <w:jc w:val="both"/>
      </w:pPr>
      <w:r>
        <w:rPr>
          <w:rStyle w:val="Zkladntext"/>
        </w:rPr>
        <w:t>Tato smlouva nabývá účinnosti dnem zveřejnění v registru smluv postupem dle čl. 17.</w:t>
      </w:r>
    </w:p>
    <w:p w:rsidR="00204033" w:rsidRDefault="0088278D">
      <w:pPr>
        <w:pStyle w:val="Nadpis30"/>
        <w:keepNext/>
        <w:keepLines/>
        <w:spacing w:after="120"/>
        <w:ind w:left="4200"/>
        <w:jc w:val="both"/>
      </w:pPr>
      <w:bookmarkStart w:id="19" w:name="bookmark38"/>
      <w:r>
        <w:rPr>
          <w:rStyle w:val="Nadpis3"/>
          <w:b/>
          <w:bCs/>
        </w:rPr>
        <w:t>20.</w:t>
      </w:r>
      <w:bookmarkEnd w:id="19"/>
    </w:p>
    <w:p w:rsidR="00204033" w:rsidRDefault="0088278D">
      <w:pPr>
        <w:pStyle w:val="Zkladntext1"/>
        <w:spacing w:after="40"/>
        <w:jc w:val="both"/>
      </w:pPr>
      <w:r>
        <w:rPr>
          <w:rStyle w:val="Zkladntext"/>
        </w:rPr>
        <w:t>Tato smlouva se vyhotovuje ve dvou stejnopisech splatností originálu, z nichž každá ze smluvních stran obdrží jedno vyhotovení. V případě, že je t</w:t>
      </w:r>
      <w:r>
        <w:rPr>
          <w:rStyle w:val="Zkladntext"/>
        </w:rPr>
        <w:t>ato smlouva uzavřena elektronickými prostředky, obdrží každá smluvní strana jeden identický elektronický soubor.</w:t>
      </w:r>
    </w:p>
    <w:p w:rsidR="00204033" w:rsidRDefault="0088278D">
      <w:pPr>
        <w:pStyle w:val="Zkladntext1"/>
        <w:tabs>
          <w:tab w:val="left" w:leader="dot" w:pos="1747"/>
        </w:tabs>
        <w:spacing w:after="120"/>
        <w:jc w:val="both"/>
      </w:pPr>
      <w:r>
        <w:rPr>
          <w:rStyle w:val="Zkladntext"/>
        </w:rPr>
        <w:t xml:space="preserve">V Brně </w:t>
      </w:r>
      <w:proofErr w:type="gramStart"/>
      <w:r>
        <w:rPr>
          <w:rStyle w:val="Zkladntext"/>
        </w:rPr>
        <w:t>dne</w:t>
      </w:r>
      <w:r>
        <w:rPr>
          <w:rStyle w:val="Zkladntext"/>
        </w:rPr>
        <w:tab/>
      </w:r>
      <w:r>
        <w:rPr>
          <w:rStyle w:val="Zkladntext"/>
          <w:i/>
          <w:iCs/>
        </w:rPr>
        <w:t xml:space="preserve">V </w:t>
      </w:r>
      <w:r>
        <w:rPr>
          <w:rStyle w:val="Zkladntext"/>
          <w:i/>
          <w:iCs/>
          <w:color w:val="2B3078"/>
        </w:rPr>
        <w:t>..</w:t>
      </w:r>
      <w:proofErr w:type="spellStart"/>
      <w:r>
        <w:rPr>
          <w:rStyle w:val="Zkladntext"/>
          <w:i/>
          <w:iCs/>
          <w:color w:val="2B3078"/>
        </w:rPr>
        <w:t>ž^č</w:t>
      </w:r>
      <w:proofErr w:type="gramEnd"/>
      <w:r>
        <w:rPr>
          <w:rStyle w:val="Zkladntext"/>
          <w:i/>
          <w:iCs/>
          <w:color w:val="2B3078"/>
        </w:rPr>
        <w:t>.dne</w:t>
      </w:r>
      <w:proofErr w:type="spellEnd"/>
    </w:p>
    <w:p w:rsidR="00204033" w:rsidRDefault="0088278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53710" cy="109093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55371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033" w:rsidRDefault="0088278D">
      <w:pPr>
        <w:pStyle w:val="Titulekobrzku0"/>
        <w:tabs>
          <w:tab w:val="left" w:pos="5342"/>
        </w:tabs>
      </w:pPr>
      <w:r>
        <w:rPr>
          <w:rStyle w:val="Titulekobrzku"/>
          <w:b/>
          <w:bCs/>
        </w:rPr>
        <w:t>Objednatel</w:t>
      </w:r>
      <w:r>
        <w:rPr>
          <w:rStyle w:val="Titulekobrzku"/>
          <w:b/>
          <w:bCs/>
        </w:rPr>
        <w:tab/>
        <w:t>Zhotovitel</w:t>
      </w:r>
    </w:p>
    <w:p w:rsidR="00204033" w:rsidRDefault="0088278D">
      <w:pPr>
        <w:pStyle w:val="Nadpis20"/>
        <w:keepNext/>
        <w:keepLines/>
      </w:pPr>
      <w:bookmarkStart w:id="20" w:name="bookmark40"/>
      <w:r>
        <w:rPr>
          <w:rStyle w:val="Nadpis2"/>
          <w:b/>
          <w:bCs/>
        </w:rPr>
        <w:t>Příloha č. 1 Specifikace služeb</w:t>
      </w:r>
      <w:bookmarkEnd w:id="20"/>
    </w:p>
    <w:p w:rsidR="00204033" w:rsidRDefault="00204033">
      <w:pPr>
        <w:pStyle w:val="Nadpis30"/>
        <w:keepNext/>
        <w:keepLines/>
        <w:numPr>
          <w:ilvl w:val="0"/>
          <w:numId w:val="7"/>
        </w:numPr>
        <w:spacing w:line="233" w:lineRule="auto"/>
        <w:ind w:left="0"/>
        <w:jc w:val="center"/>
      </w:pPr>
      <w:bookmarkStart w:id="21" w:name="bookmark42"/>
      <w:bookmarkEnd w:id="21"/>
    </w:p>
    <w:p w:rsidR="00204033" w:rsidRDefault="0088278D">
      <w:pPr>
        <w:pStyle w:val="Nadpis30"/>
        <w:keepNext/>
        <w:keepLines/>
        <w:spacing w:after="220" w:line="233" w:lineRule="auto"/>
        <w:ind w:left="0"/>
        <w:jc w:val="center"/>
      </w:pPr>
      <w:r>
        <w:rPr>
          <w:rStyle w:val="Nadpis3"/>
          <w:b/>
          <w:bCs/>
        </w:rPr>
        <w:t>Popis současného stavu systému</w:t>
      </w:r>
    </w:p>
    <w:p w:rsidR="00204033" w:rsidRDefault="0088278D">
      <w:pPr>
        <w:pStyle w:val="Zkladntext1"/>
        <w:spacing w:after="0" w:line="233" w:lineRule="auto"/>
      </w:pPr>
      <w:r>
        <w:rPr>
          <w:rStyle w:val="Zkladntext"/>
          <w:u w:val="single"/>
        </w:rPr>
        <w:t xml:space="preserve">Telefonní systém v lokalitě ZZS </w:t>
      </w:r>
      <w:proofErr w:type="spellStart"/>
      <w:r>
        <w:rPr>
          <w:rStyle w:val="Zkladntext"/>
          <w:u w:val="single"/>
        </w:rPr>
        <w:t>Jmk</w:t>
      </w:r>
      <w:proofErr w:type="spellEnd"/>
      <w:r>
        <w:rPr>
          <w:rStyle w:val="Zkladntext"/>
          <w:u w:val="single"/>
        </w:rPr>
        <w:t xml:space="preserve"> obsahuje:</w:t>
      </w:r>
    </w:p>
    <w:p w:rsidR="00204033" w:rsidRDefault="0088278D">
      <w:pPr>
        <w:pStyle w:val="Zkladntext1"/>
        <w:spacing w:after="0" w:line="233" w:lineRule="auto"/>
      </w:pPr>
      <w:r>
        <w:rPr>
          <w:rStyle w:val="Zkladntext"/>
        </w:rPr>
        <w:t xml:space="preserve">Typ: Siemens </w:t>
      </w:r>
      <w:proofErr w:type="spellStart"/>
      <w:r>
        <w:rPr>
          <w:rStyle w:val="Zkladntext"/>
        </w:rPr>
        <w:t>Openscape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Bussines</w:t>
      </w:r>
      <w:proofErr w:type="spellEnd"/>
      <w:r>
        <w:rPr>
          <w:rStyle w:val="Zkladntext"/>
        </w:rPr>
        <w:t xml:space="preserve"> X8</w:t>
      </w:r>
    </w:p>
    <w:p w:rsidR="00204033" w:rsidRDefault="0088278D">
      <w:pPr>
        <w:pStyle w:val="Zkladntext1"/>
        <w:spacing w:after="0" w:line="233" w:lineRule="auto"/>
      </w:pPr>
      <w:r>
        <w:rPr>
          <w:rStyle w:val="Zkladntext"/>
        </w:rPr>
        <w:lastRenderedPageBreak/>
        <w:t>Verze: 3.0</w:t>
      </w:r>
    </w:p>
    <w:p w:rsidR="00204033" w:rsidRDefault="0088278D">
      <w:pPr>
        <w:pStyle w:val="Zkladntext1"/>
        <w:spacing w:after="0" w:line="233" w:lineRule="auto"/>
      </w:pPr>
      <w:r>
        <w:rPr>
          <w:rStyle w:val="Zkladntext"/>
        </w:rPr>
        <w:t>HW: VOIP</w:t>
      </w:r>
    </w:p>
    <w:p w:rsidR="00204033" w:rsidRDefault="0088278D">
      <w:pPr>
        <w:pStyle w:val="Zkladntext1"/>
        <w:spacing w:after="0" w:line="233" w:lineRule="auto"/>
      </w:pPr>
      <w:r>
        <w:rPr>
          <w:rStyle w:val="Zkladntext"/>
        </w:rPr>
        <w:t>8 analogových portů</w:t>
      </w:r>
    </w:p>
    <w:p w:rsidR="00204033" w:rsidRDefault="0088278D">
      <w:pPr>
        <w:pStyle w:val="Zkladntext1"/>
        <w:spacing w:after="0" w:line="233" w:lineRule="auto"/>
      </w:pPr>
      <w:r>
        <w:rPr>
          <w:rStyle w:val="Zkladntext"/>
        </w:rPr>
        <w:t>0 digitálních portů</w:t>
      </w:r>
    </w:p>
    <w:p w:rsidR="00204033" w:rsidRDefault="0088278D">
      <w:pPr>
        <w:pStyle w:val="Zkladntext1"/>
        <w:spacing w:after="0" w:line="233" w:lineRule="auto"/>
      </w:pPr>
      <w:r>
        <w:rPr>
          <w:rStyle w:val="Zkladntext"/>
        </w:rPr>
        <w:t>190 VOIP portů</w:t>
      </w:r>
    </w:p>
    <w:p w:rsidR="00204033" w:rsidRDefault="0088278D">
      <w:pPr>
        <w:pStyle w:val="Zkladntext1"/>
        <w:spacing w:after="0" w:line="233" w:lineRule="auto"/>
      </w:pPr>
      <w:r>
        <w:rPr>
          <w:rStyle w:val="Zkladntext"/>
        </w:rPr>
        <w:t>24 portů IVM Hlasová pošta</w:t>
      </w:r>
    </w:p>
    <w:p w:rsidR="00204033" w:rsidRDefault="0088278D">
      <w:pPr>
        <w:pStyle w:val="Zkladntext1"/>
        <w:spacing w:after="0" w:line="233" w:lineRule="auto"/>
      </w:pPr>
      <w:r>
        <w:rPr>
          <w:rStyle w:val="Zkladntext"/>
        </w:rPr>
        <w:t>60 EURO/ISDN</w:t>
      </w:r>
    </w:p>
    <w:p w:rsidR="00204033" w:rsidRDefault="0088278D">
      <w:pPr>
        <w:pStyle w:val="Zkladntext1"/>
        <w:numPr>
          <w:ilvl w:val="0"/>
          <w:numId w:val="8"/>
        </w:numPr>
        <w:tabs>
          <w:tab w:val="left" w:pos="262"/>
        </w:tabs>
        <w:spacing w:after="0" w:line="233" w:lineRule="auto"/>
      </w:pPr>
      <w:r>
        <w:rPr>
          <w:rStyle w:val="Zkladntext"/>
        </w:rPr>
        <w:t xml:space="preserve">SIP </w:t>
      </w:r>
      <w:proofErr w:type="spellStart"/>
      <w:r>
        <w:rPr>
          <w:rStyle w:val="Zkladntext"/>
        </w:rPr>
        <w:t>trunk</w:t>
      </w:r>
      <w:proofErr w:type="spellEnd"/>
    </w:p>
    <w:p w:rsidR="00204033" w:rsidRDefault="0088278D">
      <w:pPr>
        <w:pStyle w:val="Zkladntext1"/>
        <w:numPr>
          <w:ilvl w:val="0"/>
          <w:numId w:val="8"/>
        </w:numPr>
        <w:tabs>
          <w:tab w:val="left" w:pos="301"/>
        </w:tabs>
        <w:spacing w:after="0" w:line="233" w:lineRule="auto"/>
      </w:pPr>
      <w:r>
        <w:rPr>
          <w:rStyle w:val="Zkladntext"/>
        </w:rPr>
        <w:t>x Patto120 portů ISDN30 4 x E1 jako automatický směrovač</w:t>
      </w:r>
    </w:p>
    <w:p w:rsidR="00204033" w:rsidRDefault="0088278D">
      <w:pPr>
        <w:pStyle w:val="Zkladntext1"/>
        <w:spacing w:after="0" w:line="233" w:lineRule="auto"/>
      </w:pPr>
      <w:r>
        <w:rPr>
          <w:rStyle w:val="Zkladntext"/>
        </w:rPr>
        <w:t>Systém blokovaní zlomysln</w:t>
      </w:r>
      <w:r>
        <w:rPr>
          <w:rStyle w:val="Zkladntext"/>
        </w:rPr>
        <w:t>ého volání</w:t>
      </w:r>
    </w:p>
    <w:p w:rsidR="00204033" w:rsidRDefault="0088278D">
      <w:pPr>
        <w:pStyle w:val="Zkladntext1"/>
        <w:spacing w:after="0" w:line="233" w:lineRule="auto"/>
      </w:pPr>
      <w:r>
        <w:rPr>
          <w:rStyle w:val="Zkladntext"/>
        </w:rPr>
        <w:t xml:space="preserve">Příčkové propojení s </w:t>
      </w:r>
      <w:proofErr w:type="spellStart"/>
      <w:r>
        <w:rPr>
          <w:rStyle w:val="Zkladntext"/>
        </w:rPr>
        <w:t>Hipath</w:t>
      </w:r>
      <w:proofErr w:type="spellEnd"/>
      <w:r>
        <w:rPr>
          <w:rStyle w:val="Zkladntext"/>
        </w:rPr>
        <w:t xml:space="preserve"> 3800 (záložní ústředna) přes IP na rezervní systém - náhrada IP linek a provozu tísňové linky 155</w:t>
      </w:r>
    </w:p>
    <w:p w:rsidR="00204033" w:rsidRDefault="0088278D">
      <w:pPr>
        <w:pStyle w:val="Zkladntext1"/>
        <w:spacing w:after="0" w:line="233" w:lineRule="auto"/>
      </w:pPr>
      <w:r>
        <w:rPr>
          <w:rStyle w:val="Zkladntext"/>
        </w:rPr>
        <w:t>40x Rozhraní J-</w:t>
      </w:r>
      <w:proofErr w:type="spellStart"/>
      <w:r>
        <w:rPr>
          <w:rStyle w:val="Zkladntext"/>
        </w:rPr>
        <w:t>Tapi</w:t>
      </w:r>
      <w:proofErr w:type="spellEnd"/>
      <w:r>
        <w:rPr>
          <w:rStyle w:val="Zkladntext"/>
        </w:rPr>
        <w:t xml:space="preserve"> pro propojení s integrací dodavatele KOMCENTRA</w:t>
      </w:r>
    </w:p>
    <w:p w:rsidR="00204033" w:rsidRDefault="0088278D">
      <w:pPr>
        <w:pStyle w:val="Zkladntext1"/>
        <w:spacing w:after="0" w:line="233" w:lineRule="auto"/>
      </w:pPr>
      <w:r>
        <w:rPr>
          <w:rStyle w:val="Zkladntext"/>
        </w:rPr>
        <w:t>22x stanoviště v rámci Jihomoravského kraje</w:t>
      </w:r>
    </w:p>
    <w:p w:rsidR="00204033" w:rsidRDefault="0088278D">
      <w:pPr>
        <w:pStyle w:val="Zkladntext1"/>
        <w:spacing w:after="0" w:line="233" w:lineRule="auto"/>
        <w:jc w:val="both"/>
      </w:pPr>
      <w:r>
        <w:rPr>
          <w:rStyle w:val="Zkladntext"/>
        </w:rPr>
        <w:t>Propojen</w:t>
      </w:r>
      <w:r>
        <w:rPr>
          <w:rStyle w:val="Zkladntext"/>
        </w:rPr>
        <w:t xml:space="preserve">i systému svolávání přes SIP </w:t>
      </w:r>
      <w:proofErr w:type="spellStart"/>
      <w:r>
        <w:rPr>
          <w:rStyle w:val="Zkladntext"/>
        </w:rPr>
        <w:t>trunk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local</w:t>
      </w:r>
      <w:proofErr w:type="spellEnd"/>
      <w:r>
        <w:rPr>
          <w:rStyle w:val="Zkladntext"/>
        </w:rPr>
        <w:t xml:space="preserve"> 30 portů</w:t>
      </w:r>
    </w:p>
    <w:p w:rsidR="00204033" w:rsidRDefault="0088278D">
      <w:pPr>
        <w:pStyle w:val="Zkladntext1"/>
        <w:spacing w:after="0" w:line="233" w:lineRule="auto"/>
      </w:pPr>
      <w:r>
        <w:rPr>
          <w:rStyle w:val="Zkladntext"/>
        </w:rPr>
        <w:t>Systémové digitální telefony:</w:t>
      </w:r>
    </w:p>
    <w:p w:rsidR="00204033" w:rsidRDefault="0088278D">
      <w:pPr>
        <w:pStyle w:val="Zkladntext1"/>
        <w:spacing w:after="0" w:line="233" w:lineRule="auto"/>
      </w:pPr>
      <w:r>
        <w:rPr>
          <w:rStyle w:val="Zkladntext"/>
        </w:rPr>
        <w:t xml:space="preserve">140 ks </w:t>
      </w:r>
      <w:proofErr w:type="spellStart"/>
      <w:r>
        <w:rPr>
          <w:rStyle w:val="Zkladntext"/>
        </w:rPr>
        <w:t>Openstage</w:t>
      </w:r>
      <w:proofErr w:type="spellEnd"/>
      <w:r>
        <w:rPr>
          <w:rStyle w:val="Zkladntext"/>
        </w:rPr>
        <w:t xml:space="preserve"> 15/20/40/60/80</w:t>
      </w:r>
    </w:p>
    <w:p w:rsidR="00204033" w:rsidRDefault="0088278D">
      <w:pPr>
        <w:pStyle w:val="Zkladntext1"/>
        <w:spacing w:after="0" w:line="233" w:lineRule="auto"/>
      </w:pPr>
      <w:r>
        <w:rPr>
          <w:rStyle w:val="Zkladntext"/>
        </w:rPr>
        <w:t>30ks SIP přístroje Dveřní vrátný IP a monitoring kamerových modulů</w:t>
      </w:r>
    </w:p>
    <w:p w:rsidR="00204033" w:rsidRDefault="0088278D">
      <w:pPr>
        <w:pStyle w:val="Zkladntext1"/>
        <w:numPr>
          <w:ilvl w:val="0"/>
          <w:numId w:val="9"/>
        </w:numPr>
        <w:tabs>
          <w:tab w:val="left" w:pos="406"/>
        </w:tabs>
        <w:spacing w:after="440" w:line="233" w:lineRule="auto"/>
      </w:pPr>
      <w:r>
        <w:rPr>
          <w:rStyle w:val="Zkladntext"/>
        </w:rPr>
        <w:t xml:space="preserve">plně vybavených pracovišť operátorů, náhlavní soupravy propojených s </w:t>
      </w:r>
      <w:r>
        <w:rPr>
          <w:rStyle w:val="Zkladntext"/>
        </w:rPr>
        <w:t xml:space="preserve">integraci, </w:t>
      </w:r>
      <w:proofErr w:type="spellStart"/>
      <w:r>
        <w:rPr>
          <w:rStyle w:val="Zkladntext"/>
        </w:rPr>
        <w:t>training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swith</w:t>
      </w:r>
      <w:proofErr w:type="spellEnd"/>
      <w:r>
        <w:rPr>
          <w:rStyle w:val="Zkladntext"/>
        </w:rPr>
        <w:t xml:space="preserve">, </w:t>
      </w:r>
      <w:proofErr w:type="spellStart"/>
      <w:r>
        <w:rPr>
          <w:rStyle w:val="Zkladntext"/>
        </w:rPr>
        <w:t>openstage</w:t>
      </w:r>
      <w:proofErr w:type="spellEnd"/>
      <w:r>
        <w:rPr>
          <w:rStyle w:val="Zkladntext"/>
        </w:rPr>
        <w:t xml:space="preserve"> 40, signální propojení stavu hovoru.</w:t>
      </w:r>
    </w:p>
    <w:p w:rsidR="00204033" w:rsidRDefault="00204033">
      <w:pPr>
        <w:pStyle w:val="Nadpis30"/>
        <w:keepNext/>
        <w:keepLines/>
        <w:numPr>
          <w:ilvl w:val="0"/>
          <w:numId w:val="7"/>
        </w:numPr>
        <w:ind w:left="0"/>
        <w:jc w:val="center"/>
      </w:pPr>
      <w:bookmarkStart w:id="22" w:name="bookmark45"/>
      <w:bookmarkEnd w:id="22"/>
    </w:p>
    <w:p w:rsidR="00204033" w:rsidRDefault="0088278D">
      <w:pPr>
        <w:pStyle w:val="Nadpis30"/>
        <w:keepNext/>
        <w:keepLines/>
        <w:ind w:left="0"/>
        <w:jc w:val="center"/>
      </w:pPr>
      <w:bookmarkStart w:id="23" w:name="bookmark47"/>
      <w:r>
        <w:rPr>
          <w:rStyle w:val="Nadpis3"/>
          <w:b/>
          <w:bCs/>
        </w:rPr>
        <w:t xml:space="preserve">Způsob nahlašování poruch </w:t>
      </w:r>
      <w:proofErr w:type="spellStart"/>
      <w:r>
        <w:rPr>
          <w:rStyle w:val="Nadpis3"/>
          <w:b/>
          <w:bCs/>
        </w:rPr>
        <w:t>Ihůty</w:t>
      </w:r>
      <w:proofErr w:type="spellEnd"/>
      <w:r>
        <w:rPr>
          <w:rStyle w:val="Nadpis3"/>
          <w:b/>
          <w:bCs/>
        </w:rPr>
        <w:t xml:space="preserve"> k jejich odstranění</w:t>
      </w:r>
      <w:bookmarkEnd w:id="23"/>
    </w:p>
    <w:p w:rsidR="00204033" w:rsidRDefault="0088278D">
      <w:pPr>
        <w:pStyle w:val="Nadpis30"/>
        <w:keepNext/>
        <w:keepLines/>
        <w:ind w:left="0"/>
      </w:pPr>
      <w:r>
        <w:rPr>
          <w:rStyle w:val="Nadpis3"/>
          <w:b/>
          <w:bCs/>
        </w:rPr>
        <w:t>Druhy poruch:</w:t>
      </w:r>
    </w:p>
    <w:p w:rsidR="00204033" w:rsidRDefault="0088278D">
      <w:pPr>
        <w:pStyle w:val="Zkladntext1"/>
        <w:numPr>
          <w:ilvl w:val="0"/>
          <w:numId w:val="10"/>
        </w:numPr>
        <w:tabs>
          <w:tab w:val="left" w:pos="834"/>
        </w:tabs>
        <w:spacing w:after="120"/>
        <w:ind w:left="820" w:hanging="360"/>
        <w:jc w:val="both"/>
      </w:pPr>
      <w:r>
        <w:rPr>
          <w:rStyle w:val="Zkladntext"/>
        </w:rPr>
        <w:t xml:space="preserve">Porucha kategorie A - Urgentní - za Urgentní poruchu se považuje stav celkové nefunkčnosti systému a nemožnost </w:t>
      </w:r>
      <w:r>
        <w:rPr>
          <w:rStyle w:val="Zkladntext"/>
        </w:rPr>
        <w:t xml:space="preserve">využívat klíčové funkcionality řešení (závažná porucha ohrožující provoz linky 155, výpadek důležitých linek </w:t>
      </w:r>
      <w:proofErr w:type="spellStart"/>
      <w:r>
        <w:rPr>
          <w:rStyle w:val="Zkladntext"/>
        </w:rPr>
        <w:t>ZzsJmk</w:t>
      </w:r>
      <w:proofErr w:type="spellEnd"/>
      <w:r>
        <w:rPr>
          <w:rStyle w:val="Zkladntext"/>
        </w:rPr>
        <w:t>, výpadek svolávaní, integrace, výpadek směrovače, atd.).</w:t>
      </w:r>
    </w:p>
    <w:p w:rsidR="00204033" w:rsidRDefault="0088278D">
      <w:pPr>
        <w:pStyle w:val="Zkladntext1"/>
        <w:numPr>
          <w:ilvl w:val="0"/>
          <w:numId w:val="10"/>
        </w:numPr>
        <w:tabs>
          <w:tab w:val="left" w:pos="834"/>
        </w:tabs>
        <w:spacing w:after="220"/>
        <w:ind w:left="820" w:hanging="360"/>
        <w:jc w:val="both"/>
      </w:pPr>
      <w:r>
        <w:rPr>
          <w:rStyle w:val="Zkladntext"/>
        </w:rPr>
        <w:t xml:space="preserve">Porucha kategorie B - Běžná - za Běžnou poruchu se považuje stav, který neohrožuje </w:t>
      </w:r>
      <w:r>
        <w:rPr>
          <w:rStyle w:val="Zkladntext"/>
        </w:rPr>
        <w:t xml:space="preserve">klíčové funkcionality (porucha linek které nejsou nezbytně nutné pro provoz záchranné služby a výrazně neovlivní chod </w:t>
      </w:r>
      <w:proofErr w:type="spellStart"/>
      <w:r>
        <w:rPr>
          <w:rStyle w:val="Zkladntext"/>
        </w:rPr>
        <w:t>ZzsJmk</w:t>
      </w:r>
      <w:proofErr w:type="spellEnd"/>
      <w:r>
        <w:rPr>
          <w:rStyle w:val="Zkladntext"/>
        </w:rPr>
        <w:t>).</w:t>
      </w:r>
    </w:p>
    <w:p w:rsidR="00204033" w:rsidRDefault="0088278D">
      <w:pPr>
        <w:pStyle w:val="Zkladntext1"/>
        <w:spacing w:after="220"/>
      </w:pPr>
      <w:r>
        <w:rPr>
          <w:rStyle w:val="Zkladntext"/>
          <w:b/>
          <w:bCs/>
        </w:rPr>
        <w:t xml:space="preserve">Režim 24 x 7 - </w:t>
      </w:r>
      <w:r>
        <w:rPr>
          <w:rStyle w:val="Zkladntext"/>
        </w:rPr>
        <w:t>poskytování služeb non-stop, tj. 24 hodin denně, 7 dní v týdnu, 365 dní v roce.</w:t>
      </w:r>
    </w:p>
    <w:p w:rsidR="00204033" w:rsidRDefault="0088278D">
      <w:pPr>
        <w:pStyle w:val="Titulektabulky0"/>
        <w:ind w:left="101"/>
      </w:pPr>
      <w:r>
        <w:rPr>
          <w:rStyle w:val="Titulektabulky"/>
          <w:b/>
          <w:bCs/>
        </w:rPr>
        <w:t>Lhůty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4"/>
        <w:gridCol w:w="984"/>
        <w:gridCol w:w="3576"/>
        <w:gridCol w:w="3422"/>
      </w:tblGrid>
      <w:tr w:rsidR="00204033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033" w:rsidRDefault="0088278D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Porucha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033" w:rsidRDefault="0088278D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Režim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4033" w:rsidRDefault="0088278D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Zahájení odstr</w:t>
            </w:r>
            <w:r>
              <w:rPr>
                <w:rStyle w:val="Jin"/>
                <w:b/>
                <w:bCs/>
              </w:rPr>
              <w:t>aňování poruchy (reakční doba) od nahlášení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033" w:rsidRDefault="0088278D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Lhůta na odstranění poruchy od nahlášení</w:t>
            </w:r>
          </w:p>
        </w:tc>
      </w:tr>
      <w:tr w:rsidR="0020403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4033" w:rsidRDefault="0088278D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4033" w:rsidRDefault="0088278D">
            <w:pPr>
              <w:pStyle w:val="Jin0"/>
              <w:spacing w:after="0"/>
            </w:pPr>
            <w:r>
              <w:rPr>
                <w:rStyle w:val="Jin"/>
              </w:rPr>
              <w:t>24x7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4033" w:rsidRDefault="0088278D">
            <w:pPr>
              <w:pStyle w:val="Jin0"/>
              <w:spacing w:after="0"/>
            </w:pPr>
            <w:r>
              <w:rPr>
                <w:rStyle w:val="Jin"/>
              </w:rPr>
              <w:t>2 hodiny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033" w:rsidRDefault="0088278D">
            <w:pPr>
              <w:pStyle w:val="Jin0"/>
              <w:spacing w:after="0"/>
            </w:pPr>
            <w:r>
              <w:rPr>
                <w:rStyle w:val="Jin"/>
              </w:rPr>
              <w:t>4 hodiny</w:t>
            </w:r>
          </w:p>
        </w:tc>
      </w:tr>
      <w:tr w:rsidR="0020403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033" w:rsidRDefault="0088278D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B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033" w:rsidRDefault="0088278D">
            <w:pPr>
              <w:pStyle w:val="Jin0"/>
              <w:spacing w:after="0"/>
            </w:pPr>
            <w:r>
              <w:rPr>
                <w:rStyle w:val="Jin"/>
              </w:rPr>
              <w:t>24x7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033" w:rsidRDefault="0088278D">
            <w:pPr>
              <w:pStyle w:val="Jin0"/>
              <w:spacing w:after="0"/>
            </w:pPr>
            <w:r>
              <w:rPr>
                <w:rStyle w:val="Jin"/>
              </w:rPr>
              <w:t>Následující pracovní den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33" w:rsidRDefault="0088278D">
            <w:pPr>
              <w:pStyle w:val="Jin0"/>
              <w:spacing w:after="0"/>
            </w:pPr>
            <w:r>
              <w:rPr>
                <w:rStyle w:val="Jin"/>
              </w:rPr>
              <w:t>5 pracovních dnů</w:t>
            </w:r>
          </w:p>
        </w:tc>
      </w:tr>
    </w:tbl>
    <w:p w:rsidR="00204033" w:rsidRDefault="00204033">
      <w:pPr>
        <w:spacing w:after="439" w:line="1" w:lineRule="exact"/>
      </w:pPr>
    </w:p>
    <w:p w:rsidR="00204033" w:rsidRDefault="0088278D">
      <w:pPr>
        <w:pStyle w:val="Nadpis30"/>
        <w:keepNext/>
        <w:keepLines/>
        <w:ind w:left="0"/>
      </w:pPr>
      <w:bookmarkStart w:id="24" w:name="bookmark50"/>
      <w:r>
        <w:rPr>
          <w:rStyle w:val="Nadpis3"/>
          <w:b/>
          <w:bCs/>
        </w:rPr>
        <w:t>Způsob ohlašování poruch:</w:t>
      </w:r>
      <w:bookmarkEnd w:id="24"/>
    </w:p>
    <w:p w:rsidR="00204033" w:rsidRDefault="0088278D">
      <w:pPr>
        <w:pStyle w:val="Zkladntext1"/>
        <w:spacing w:after="220"/>
        <w:jc w:val="both"/>
      </w:pPr>
      <w:r>
        <w:rPr>
          <w:rStyle w:val="Zkladntext"/>
        </w:rPr>
        <w:t>Poruchy Objednatel (oprávněné osoby Objednatele) hlásí na kontaktní</w:t>
      </w:r>
      <w:r>
        <w:rPr>
          <w:rStyle w:val="Zkladntext"/>
        </w:rPr>
        <w:t xml:space="preserve"> místo Zhotovitele (Hot-line) prostřednictvím </w:t>
      </w:r>
      <w:proofErr w:type="spellStart"/>
      <w:r>
        <w:rPr>
          <w:rStyle w:val="Zkladntext"/>
        </w:rPr>
        <w:t>helpdesk</w:t>
      </w:r>
      <w:proofErr w:type="spellEnd"/>
      <w:r>
        <w:rPr>
          <w:rStyle w:val="Zkladntext"/>
        </w:rPr>
        <w:t xml:space="preserve">, telefonicky nebo elektronickou poštou. Poruchy kategorie A objednatel vždy hlásí telefonicky a doplňující informace poskytuje prostřednictvím </w:t>
      </w:r>
      <w:proofErr w:type="spellStart"/>
      <w:r>
        <w:rPr>
          <w:rStyle w:val="Zkladntext"/>
        </w:rPr>
        <w:t>helpdesk</w:t>
      </w:r>
      <w:proofErr w:type="spellEnd"/>
      <w:r>
        <w:rPr>
          <w:rStyle w:val="Zkladntext"/>
        </w:rPr>
        <w:t xml:space="preserve"> nebo elektronickou poštou.</w:t>
      </w:r>
    </w:p>
    <w:p w:rsidR="00204033" w:rsidRDefault="0088278D">
      <w:pPr>
        <w:pStyle w:val="Nadpis30"/>
        <w:keepNext/>
        <w:keepLines/>
        <w:ind w:left="0"/>
        <w:jc w:val="both"/>
      </w:pPr>
      <w:bookmarkStart w:id="25" w:name="bookmark52"/>
      <w:r>
        <w:rPr>
          <w:rStyle w:val="Nadpis3"/>
          <w:b/>
          <w:bCs/>
        </w:rPr>
        <w:t>Reakce Zhotovitele:</w:t>
      </w:r>
      <w:bookmarkEnd w:id="25"/>
    </w:p>
    <w:p w:rsidR="00204033" w:rsidRDefault="0088278D">
      <w:pPr>
        <w:pStyle w:val="Zkladntext1"/>
        <w:spacing w:after="0"/>
        <w:jc w:val="both"/>
      </w:pPr>
      <w:r>
        <w:rPr>
          <w:rStyle w:val="Zkladntext"/>
        </w:rPr>
        <w:t>Sl</w:t>
      </w:r>
      <w:r>
        <w:rPr>
          <w:rStyle w:val="Zkladntext"/>
        </w:rPr>
        <w:t>užba Hot-line Zhotovitele dle sjednané reakční doby potvrdí Objednateli (elektronickou poštou a/nebo faxem), že obdržela výzvu Objednatele k odstranění poruchy. V potvrzení uvede označení evidované poruchy a termín zahájení prací na odstraňování poruchy. T</w:t>
      </w:r>
      <w:r>
        <w:rPr>
          <w:rStyle w:val="Zkladntext"/>
        </w:rPr>
        <w:t xml:space="preserve">yto informace doručí osobě, která problém za Objednatele nahlásila a pracovišti </w:t>
      </w:r>
      <w:proofErr w:type="spellStart"/>
      <w:r>
        <w:rPr>
          <w:rStyle w:val="Zkladntext"/>
        </w:rPr>
        <w:t>Helpdesku</w:t>
      </w:r>
      <w:proofErr w:type="spellEnd"/>
      <w:r>
        <w:rPr>
          <w:rStyle w:val="Zkladntext"/>
        </w:rPr>
        <w:t xml:space="preserve"> Objednatele. Servisní zásah lze zahájit buď vzdálenou správou, nebo příjezdem pracovníka zhotovitele.</w:t>
      </w:r>
    </w:p>
    <w:sectPr w:rsidR="00204033">
      <w:pgSz w:w="11900" w:h="16840"/>
      <w:pgMar w:top="1361" w:right="1315" w:bottom="1339" w:left="1336" w:header="93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8D" w:rsidRDefault="0088278D">
      <w:r>
        <w:separator/>
      </w:r>
    </w:p>
  </w:endnote>
  <w:endnote w:type="continuationSeparator" w:id="0">
    <w:p w:rsidR="0088278D" w:rsidRDefault="0088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033" w:rsidRDefault="008827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10176510</wp:posOffset>
              </wp:positionV>
              <wp:extent cx="275844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844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4033" w:rsidRDefault="0088278D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</w:rPr>
                            <w:t>Veřejná zakázka 21_2025: Telefonie 2025 - 2026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.299999999999997pt;margin-top:801.30000000000007pt;width:217.20000000000002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</w:rPr>
                      <w:t>Veřejná zakázka 21_2025: Telefonie 2025 - 2026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8D" w:rsidRDefault="0088278D"/>
  </w:footnote>
  <w:footnote w:type="continuationSeparator" w:id="0">
    <w:p w:rsidR="0088278D" w:rsidRDefault="008827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2797"/>
    <w:multiLevelType w:val="multilevel"/>
    <w:tmpl w:val="EE061908"/>
    <w:lvl w:ilvl="0">
      <w:start w:val="1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D49A1"/>
    <w:multiLevelType w:val="multilevel"/>
    <w:tmpl w:val="B94E7CC2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901FCB"/>
    <w:multiLevelType w:val="multilevel"/>
    <w:tmpl w:val="E4F8B94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8F6DD7"/>
    <w:multiLevelType w:val="multilevel"/>
    <w:tmpl w:val="47F6FA6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6079F1"/>
    <w:multiLevelType w:val="multilevel"/>
    <w:tmpl w:val="D46A5E2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D37E10"/>
    <w:multiLevelType w:val="multilevel"/>
    <w:tmpl w:val="EAE029D4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294BA8"/>
    <w:multiLevelType w:val="multilevel"/>
    <w:tmpl w:val="3E98CD2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54196B"/>
    <w:multiLevelType w:val="multilevel"/>
    <w:tmpl w:val="8ADA777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CD4E7C"/>
    <w:multiLevelType w:val="multilevel"/>
    <w:tmpl w:val="7B3C1F5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EC195A"/>
    <w:multiLevelType w:val="multilevel"/>
    <w:tmpl w:val="939650C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33"/>
    <w:rsid w:val="00204033"/>
    <w:rsid w:val="006159DB"/>
    <w:rsid w:val="0088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266AE-9625-4315-8B26-884534A3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48"/>
      <w:szCs w:val="4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pacing w:after="100"/>
      <w:jc w:val="center"/>
      <w:outlineLvl w:val="0"/>
    </w:pPr>
    <w:rPr>
      <w:rFonts w:ascii="Arial" w:eastAsia="Arial" w:hAnsi="Arial" w:cs="Arial"/>
      <w:w w:val="80"/>
      <w:sz w:val="48"/>
      <w:szCs w:val="4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ind w:firstLine="320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ind w:left="209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30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pacing w:after="2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1622</Words>
  <Characters>9576</Characters>
  <Application>Microsoft Office Word</Application>
  <DocSecurity>0</DocSecurity>
  <Lines>79</Lines>
  <Paragraphs>22</Paragraphs>
  <ScaleCrop>false</ScaleCrop>
  <Company>HP Inc.</Company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2025-07-07T10:12:00Z</dcterms:created>
  <dcterms:modified xsi:type="dcterms:W3CDTF">2025-07-07T10:13:00Z</dcterms:modified>
</cp:coreProperties>
</file>