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3CBB45C8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smlouvy: </w:t>
      </w:r>
      <w:r w:rsidR="00894466" w:rsidRPr="00894466">
        <w:rPr>
          <w:rFonts w:ascii="Arial" w:hAnsi="Arial" w:cs="Arial"/>
          <w:sz w:val="22"/>
          <w:szCs w:val="22"/>
        </w:rPr>
        <w:t>SD/2025/0717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3455E43D" w:rsidR="0086703B" w:rsidRPr="005C34D0" w:rsidRDefault="00437831" w:rsidP="008F3139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8F3139" w:rsidRPr="008F3139">
        <w:rPr>
          <w:rFonts w:ascii="Arial" w:hAnsi="Arial" w:cs="Arial"/>
          <w:sz w:val="22"/>
          <w:szCs w:val="22"/>
        </w:rPr>
        <w:t>Ing. Martina Vacková, vedoucí kanceláře tajemníka</w:t>
      </w:r>
      <w:r w:rsidR="008F3139">
        <w:rPr>
          <w:rFonts w:ascii="Arial" w:hAnsi="Arial" w:cs="Arial"/>
          <w:sz w:val="22"/>
          <w:szCs w:val="22"/>
        </w:rPr>
        <w:br/>
      </w:r>
      <w:r w:rsidR="008F3139" w:rsidRPr="008F3139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5A3048B0" w:rsidR="004D180B" w:rsidRPr="00376CAC" w:rsidRDefault="00CF3FAF" w:rsidP="004D180B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F3FAF">
        <w:rPr>
          <w:rFonts w:ascii="Arial" w:hAnsi="Arial" w:cs="Arial"/>
          <w:b/>
          <w:sz w:val="22"/>
          <w:szCs w:val="22"/>
        </w:rPr>
        <w:t>Scenario</w:t>
      </w:r>
      <w:proofErr w:type="spellEnd"/>
      <w:r w:rsidRPr="00CF3FAF">
        <w:rPr>
          <w:rFonts w:ascii="Arial" w:hAnsi="Arial" w:cs="Arial"/>
          <w:b/>
          <w:sz w:val="22"/>
          <w:szCs w:val="22"/>
        </w:rPr>
        <w:t xml:space="preserve"> s.r.o.</w:t>
      </w:r>
    </w:p>
    <w:p w14:paraId="126FC79B" w14:textId="77777777" w:rsidR="00CF3FAF" w:rsidRPr="00CF3FAF" w:rsidRDefault="00CF3FAF" w:rsidP="00CF3F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Se sídlem:</w:t>
      </w:r>
      <w:r w:rsidRPr="00CF3FAF">
        <w:rPr>
          <w:rFonts w:ascii="Arial" w:hAnsi="Arial" w:cs="Arial"/>
          <w:sz w:val="22"/>
          <w:szCs w:val="22"/>
        </w:rPr>
        <w:tab/>
        <w:t>Pohraniční 1435/86, 703 00 Ostrava</w:t>
      </w:r>
    </w:p>
    <w:p w14:paraId="6549461F" w14:textId="77777777" w:rsidR="00CF3FAF" w:rsidRPr="00CF3FAF" w:rsidRDefault="00CF3FAF" w:rsidP="00CF3F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Zastoupený:</w:t>
      </w:r>
      <w:r w:rsidRPr="00CF3FAF">
        <w:rPr>
          <w:rFonts w:ascii="Arial" w:hAnsi="Arial" w:cs="Arial"/>
          <w:sz w:val="22"/>
          <w:szCs w:val="22"/>
        </w:rPr>
        <w:tab/>
        <w:t>Čestmír Černý, jednatel</w:t>
      </w:r>
    </w:p>
    <w:p w14:paraId="4713F1AC" w14:textId="77777777" w:rsidR="00CF3FAF" w:rsidRPr="00CF3FAF" w:rsidRDefault="00CF3FAF" w:rsidP="00CF3F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IČO:</w:t>
      </w:r>
      <w:r w:rsidRPr="00CF3FAF">
        <w:rPr>
          <w:rFonts w:ascii="Arial" w:hAnsi="Arial" w:cs="Arial"/>
          <w:sz w:val="22"/>
          <w:szCs w:val="22"/>
        </w:rPr>
        <w:tab/>
        <w:t>29462177</w:t>
      </w:r>
    </w:p>
    <w:p w14:paraId="632B283A" w14:textId="77777777" w:rsidR="00CF3FAF" w:rsidRPr="00CF3FAF" w:rsidRDefault="00CF3FAF" w:rsidP="00CF3F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DIČ:</w:t>
      </w:r>
      <w:r w:rsidRPr="00CF3FAF">
        <w:rPr>
          <w:rFonts w:ascii="Arial" w:hAnsi="Arial" w:cs="Arial"/>
          <w:sz w:val="22"/>
          <w:szCs w:val="22"/>
        </w:rPr>
        <w:tab/>
        <w:t>CZ29462177</w:t>
      </w:r>
    </w:p>
    <w:p w14:paraId="09B3239F" w14:textId="77777777" w:rsidR="00CF3FAF" w:rsidRPr="00CF3FAF" w:rsidRDefault="00CF3FAF" w:rsidP="00CF3F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Bankovní spojení:</w:t>
      </w:r>
      <w:r w:rsidRPr="00CF3FAF">
        <w:rPr>
          <w:rFonts w:ascii="Arial" w:hAnsi="Arial" w:cs="Arial"/>
          <w:sz w:val="22"/>
          <w:szCs w:val="22"/>
        </w:rPr>
        <w:tab/>
        <w:t>Komerční banka, a.s.</w:t>
      </w:r>
    </w:p>
    <w:p w14:paraId="386A497A" w14:textId="77777777" w:rsidR="00CF3FAF" w:rsidRPr="00CF3FAF" w:rsidRDefault="00CF3FAF" w:rsidP="00CF3F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Číslo účtu:</w:t>
      </w:r>
      <w:r w:rsidRPr="00CF3FAF">
        <w:rPr>
          <w:rFonts w:ascii="Arial" w:hAnsi="Arial" w:cs="Arial"/>
          <w:sz w:val="22"/>
          <w:szCs w:val="22"/>
        </w:rPr>
        <w:tab/>
        <w:t>115-947220217/0100</w:t>
      </w:r>
    </w:p>
    <w:p w14:paraId="053D6D1B" w14:textId="6091A86E" w:rsidR="004D180B" w:rsidRPr="00621853" w:rsidRDefault="00CF3FAF" w:rsidP="00CF3FAF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Tel.:</w:t>
      </w:r>
      <w:r w:rsidRPr="00CF3FAF">
        <w:rPr>
          <w:rFonts w:ascii="Arial" w:hAnsi="Arial" w:cs="Arial"/>
          <w:sz w:val="22"/>
          <w:szCs w:val="22"/>
        </w:rPr>
        <w:tab/>
        <w:t>602 704 888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5CBFE206" w14:textId="1C81A204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C8067D">
        <w:rPr>
          <w:rFonts w:ascii="Arial" w:hAnsi="Arial" w:cs="Arial"/>
          <w:snapToGrid w:val="0"/>
          <w:sz w:val="22"/>
          <w:szCs w:val="22"/>
        </w:rPr>
        <w:t xml:space="preserve"> </w:t>
      </w:r>
      <w:r w:rsidR="006C0195" w:rsidRPr="006C0195">
        <w:rPr>
          <w:rFonts w:ascii="Arial" w:hAnsi="Arial" w:cs="Arial"/>
          <w:snapToGrid w:val="0"/>
          <w:sz w:val="22"/>
          <w:szCs w:val="22"/>
        </w:rPr>
        <w:t xml:space="preserve">nákup 25 ks nových, nepoužitých a nerepasovaných počítačů včetně softwaru </w:t>
      </w:r>
      <w:r w:rsidR="00E257A0" w:rsidRPr="00E257A0">
        <w:rPr>
          <w:rFonts w:ascii="Arial" w:hAnsi="Arial" w:cs="Arial"/>
          <w:snapToGrid w:val="0"/>
          <w:sz w:val="22"/>
          <w:szCs w:val="22"/>
        </w:rPr>
        <w:t>dle následující podrobné specifikace</w:t>
      </w:r>
      <w:r w:rsidR="00247477" w:rsidRPr="00247477">
        <w:rPr>
          <w:rFonts w:ascii="Arial" w:hAnsi="Arial" w:cs="Arial"/>
          <w:snapToGrid w:val="0"/>
          <w:sz w:val="22"/>
          <w:szCs w:val="22"/>
        </w:rPr>
        <w:t>.</w:t>
      </w:r>
    </w:p>
    <w:p w14:paraId="46D7F4E6" w14:textId="77777777" w:rsidR="001E6D31" w:rsidRPr="001E6D31" w:rsidRDefault="001E6D31" w:rsidP="001E6D3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1DF038" w14:textId="11B545FC" w:rsidR="00C42671" w:rsidRPr="00E257A0" w:rsidRDefault="00991A19" w:rsidP="0072561F">
      <w:pPr>
        <w:rPr>
          <w:rFonts w:ascii="Arial" w:hAnsi="Arial" w:cs="Arial"/>
          <w:snapToGrid w:val="0"/>
          <w:sz w:val="22"/>
          <w:szCs w:val="22"/>
        </w:rPr>
      </w:pPr>
      <w:r w:rsidRPr="00E257A0">
        <w:rPr>
          <w:rFonts w:ascii="Arial" w:hAnsi="Arial" w:cs="Arial"/>
          <w:snapToGrid w:val="0"/>
          <w:sz w:val="22"/>
          <w:szCs w:val="22"/>
        </w:rPr>
        <w:t xml:space="preserve">25x Počítač </w:t>
      </w:r>
      <w:proofErr w:type="spellStart"/>
      <w:r w:rsidRPr="00E257A0">
        <w:rPr>
          <w:rFonts w:ascii="Arial" w:hAnsi="Arial" w:cs="Arial"/>
          <w:snapToGrid w:val="0"/>
          <w:sz w:val="22"/>
          <w:szCs w:val="22"/>
        </w:rPr>
        <w:t>Triline</w:t>
      </w:r>
      <w:proofErr w:type="spellEnd"/>
      <w:r w:rsidRPr="00E257A0">
        <w:rPr>
          <w:rFonts w:ascii="Arial" w:hAnsi="Arial" w:cs="Arial"/>
          <w:snapToGrid w:val="0"/>
          <w:sz w:val="22"/>
          <w:szCs w:val="22"/>
        </w:rPr>
        <w:t xml:space="preserve"> Profi A40</w:t>
      </w:r>
      <w:r w:rsidR="009A6954" w:rsidRPr="00E257A0">
        <w:rPr>
          <w:rFonts w:ascii="Arial" w:hAnsi="Arial" w:cs="Arial"/>
          <w:snapToGrid w:val="0"/>
          <w:sz w:val="22"/>
          <w:szCs w:val="22"/>
        </w:rPr>
        <w:t>:</w:t>
      </w:r>
    </w:p>
    <w:p w14:paraId="00FB484A" w14:textId="7597B40E" w:rsidR="00991A19" w:rsidRDefault="00991A19" w:rsidP="00991A1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>Protokol o provedeném funkčním testu</w:t>
      </w:r>
    </w:p>
    <w:p w14:paraId="739916CB" w14:textId="5CAC270B" w:rsidR="00991A19" w:rsidRDefault="00991A19" w:rsidP="00991A1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>6 jádrový procesor s integrovaným grafickým čipem</w:t>
      </w:r>
      <w:r>
        <w:rPr>
          <w:rFonts w:ascii="Arial" w:hAnsi="Arial" w:cs="Arial"/>
        </w:rPr>
        <w:t xml:space="preserve"> </w:t>
      </w:r>
      <w:r w:rsidRPr="00991A19">
        <w:rPr>
          <w:rFonts w:ascii="Arial" w:hAnsi="Arial" w:cs="Arial"/>
        </w:rPr>
        <w:t xml:space="preserve">AMD </w:t>
      </w:r>
      <w:proofErr w:type="spellStart"/>
      <w:r w:rsidRPr="00991A19">
        <w:rPr>
          <w:rFonts w:ascii="Arial" w:hAnsi="Arial" w:cs="Arial"/>
        </w:rPr>
        <w:t>Ryzen</w:t>
      </w:r>
      <w:proofErr w:type="spellEnd"/>
      <w:r w:rsidRPr="00991A19">
        <w:rPr>
          <w:rFonts w:ascii="Arial" w:hAnsi="Arial" w:cs="Arial"/>
        </w:rPr>
        <w:t xml:space="preserve"> 5 5600GT</w:t>
      </w:r>
    </w:p>
    <w:p w14:paraId="0A99ECEB" w14:textId="748F1E88" w:rsidR="00991A19" w:rsidRDefault="00991A19" w:rsidP="00991A1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 xml:space="preserve">Operační paměť </w:t>
      </w:r>
      <w:r w:rsidR="005F0CC9" w:rsidRPr="005F0CC9">
        <w:rPr>
          <w:rFonts w:ascii="Arial" w:hAnsi="Arial" w:cs="Arial"/>
        </w:rPr>
        <w:t>Kingston</w:t>
      </w:r>
      <w:r w:rsidR="00C369C1">
        <w:rPr>
          <w:rFonts w:ascii="Arial" w:hAnsi="Arial" w:cs="Arial"/>
        </w:rPr>
        <w:t xml:space="preserve"> </w:t>
      </w:r>
      <w:r w:rsidR="001A1762" w:rsidRPr="005F0CC9">
        <w:rPr>
          <w:rFonts w:ascii="Arial" w:hAnsi="Arial" w:cs="Arial"/>
        </w:rPr>
        <w:t>16</w:t>
      </w:r>
      <w:r w:rsidR="001A1762">
        <w:rPr>
          <w:rFonts w:ascii="Arial" w:hAnsi="Arial" w:cs="Arial"/>
        </w:rPr>
        <w:t xml:space="preserve"> </w:t>
      </w:r>
      <w:r w:rsidR="001A1762" w:rsidRPr="005F0CC9">
        <w:rPr>
          <w:rFonts w:ascii="Arial" w:hAnsi="Arial" w:cs="Arial"/>
        </w:rPr>
        <w:t xml:space="preserve">GB </w:t>
      </w:r>
      <w:r w:rsidR="005F0CC9" w:rsidRPr="005F0CC9">
        <w:rPr>
          <w:rFonts w:ascii="Arial" w:hAnsi="Arial" w:cs="Arial"/>
        </w:rPr>
        <w:t>DDR4-3200MHz CL22</w:t>
      </w:r>
    </w:p>
    <w:p w14:paraId="056F0109" w14:textId="1249E3CA" w:rsidR="00991A19" w:rsidRDefault="00991A19" w:rsidP="00991A1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>Základní deska</w:t>
      </w:r>
      <w:r>
        <w:rPr>
          <w:rFonts w:ascii="Arial" w:hAnsi="Arial" w:cs="Arial"/>
        </w:rPr>
        <w:t xml:space="preserve"> </w:t>
      </w:r>
      <w:r w:rsidRPr="00991A19">
        <w:rPr>
          <w:rFonts w:ascii="Arial" w:hAnsi="Arial" w:cs="Arial"/>
        </w:rPr>
        <w:t>ASUS PRIME A520M-A II/CSM</w:t>
      </w:r>
      <w:r>
        <w:rPr>
          <w:rFonts w:ascii="Arial" w:hAnsi="Arial" w:cs="Arial"/>
        </w:rPr>
        <w:t xml:space="preserve">, </w:t>
      </w:r>
      <w:r w:rsidRPr="00991A19">
        <w:rPr>
          <w:rFonts w:ascii="Arial" w:hAnsi="Arial" w:cs="Arial"/>
        </w:rPr>
        <w:t xml:space="preserve">integrované grafické výstupy 1x VGA 1x HDMI 1x </w:t>
      </w:r>
      <w:proofErr w:type="spellStart"/>
      <w:r w:rsidRPr="00991A19">
        <w:rPr>
          <w:rFonts w:ascii="Arial" w:hAnsi="Arial" w:cs="Arial"/>
        </w:rPr>
        <w:t>DisplayPort</w:t>
      </w:r>
      <w:proofErr w:type="spellEnd"/>
      <w:r w:rsidRPr="00991A19">
        <w:rPr>
          <w:rFonts w:ascii="Arial" w:hAnsi="Arial" w:cs="Arial"/>
        </w:rPr>
        <w:t xml:space="preserve">, integrovaná gigabitová síťová karta, </w:t>
      </w:r>
      <w:r w:rsidR="00531E2F">
        <w:rPr>
          <w:rFonts w:ascii="Arial" w:hAnsi="Arial" w:cs="Arial"/>
        </w:rPr>
        <w:t>i</w:t>
      </w:r>
      <w:r w:rsidRPr="00991A19">
        <w:rPr>
          <w:rFonts w:ascii="Arial" w:hAnsi="Arial" w:cs="Arial"/>
        </w:rPr>
        <w:t xml:space="preserve">ntegrovaná zvuková karta, integrovaný slot M.2 </w:t>
      </w:r>
      <w:proofErr w:type="spellStart"/>
      <w:r w:rsidRPr="00991A19">
        <w:rPr>
          <w:rFonts w:ascii="Arial" w:hAnsi="Arial" w:cs="Arial"/>
        </w:rPr>
        <w:t>PCIe</w:t>
      </w:r>
      <w:proofErr w:type="spellEnd"/>
      <w:r w:rsidRPr="00991A19">
        <w:rPr>
          <w:rFonts w:ascii="Arial" w:hAnsi="Arial" w:cs="Arial"/>
        </w:rPr>
        <w:t xml:space="preserve"> </w:t>
      </w:r>
      <w:proofErr w:type="spellStart"/>
      <w:r w:rsidRPr="00991A19">
        <w:rPr>
          <w:rFonts w:ascii="Arial" w:hAnsi="Arial" w:cs="Arial"/>
        </w:rPr>
        <w:t>NVMe</w:t>
      </w:r>
      <w:proofErr w:type="spellEnd"/>
      <w:r w:rsidRPr="00991A19">
        <w:rPr>
          <w:rFonts w:ascii="Arial" w:hAnsi="Arial" w:cs="Arial"/>
        </w:rPr>
        <w:t xml:space="preserve"> pro připojení SSD disku, 6x USB integrované na zadním panelu</w:t>
      </w:r>
    </w:p>
    <w:p w14:paraId="22C93EDA" w14:textId="151F3593" w:rsidR="00531E2F" w:rsidRDefault="00531E2F" w:rsidP="00991A1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531E2F">
        <w:rPr>
          <w:rFonts w:ascii="Arial" w:hAnsi="Arial" w:cs="Arial"/>
        </w:rPr>
        <w:t xml:space="preserve">SSD disk M.2 </w:t>
      </w:r>
      <w:proofErr w:type="spellStart"/>
      <w:r w:rsidRPr="00531E2F">
        <w:rPr>
          <w:rFonts w:ascii="Arial" w:hAnsi="Arial" w:cs="Arial"/>
        </w:rPr>
        <w:t>PCIe</w:t>
      </w:r>
      <w:proofErr w:type="spellEnd"/>
      <w:r w:rsidRPr="00531E2F">
        <w:rPr>
          <w:rFonts w:ascii="Arial" w:hAnsi="Arial" w:cs="Arial"/>
        </w:rPr>
        <w:t xml:space="preserve"> </w:t>
      </w:r>
      <w:proofErr w:type="spellStart"/>
      <w:r w:rsidRPr="00531E2F">
        <w:rPr>
          <w:rFonts w:ascii="Arial" w:hAnsi="Arial" w:cs="Arial"/>
        </w:rPr>
        <w:t>NVMe</w:t>
      </w:r>
      <w:proofErr w:type="spellEnd"/>
      <w:r w:rsidRPr="00531E2F">
        <w:rPr>
          <w:rFonts w:ascii="Arial" w:hAnsi="Arial" w:cs="Arial"/>
        </w:rPr>
        <w:t xml:space="preserve"> 1 TB</w:t>
      </w:r>
      <w:r>
        <w:rPr>
          <w:rFonts w:ascii="Arial" w:hAnsi="Arial" w:cs="Arial"/>
        </w:rPr>
        <w:t xml:space="preserve"> </w:t>
      </w:r>
      <w:r w:rsidRPr="00531E2F">
        <w:rPr>
          <w:rFonts w:ascii="Arial" w:hAnsi="Arial" w:cs="Arial"/>
        </w:rPr>
        <w:t>PATRIOT P400 Lite, životnost 5</w:t>
      </w:r>
      <w:r>
        <w:rPr>
          <w:rFonts w:ascii="Arial" w:hAnsi="Arial" w:cs="Arial"/>
        </w:rPr>
        <w:t>6</w:t>
      </w:r>
      <w:r w:rsidRPr="00531E2F">
        <w:rPr>
          <w:rFonts w:ascii="Arial" w:hAnsi="Arial" w:cs="Arial"/>
        </w:rPr>
        <w:t xml:space="preserve">0 TBW, rychlost čtení minimálně </w:t>
      </w:r>
      <w:r>
        <w:rPr>
          <w:rFonts w:ascii="Arial" w:hAnsi="Arial" w:cs="Arial"/>
        </w:rPr>
        <w:t>3</w:t>
      </w:r>
      <w:r w:rsidRPr="00531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531E2F">
        <w:rPr>
          <w:rFonts w:ascii="Arial" w:hAnsi="Arial" w:cs="Arial"/>
        </w:rPr>
        <w:t xml:space="preserve">00 MB/s, rychlost zápisu minimálně 2 </w:t>
      </w:r>
      <w:r>
        <w:rPr>
          <w:rFonts w:ascii="Arial" w:hAnsi="Arial" w:cs="Arial"/>
        </w:rPr>
        <w:t>7</w:t>
      </w:r>
      <w:r w:rsidRPr="00531E2F">
        <w:rPr>
          <w:rFonts w:ascii="Arial" w:hAnsi="Arial" w:cs="Arial"/>
        </w:rPr>
        <w:t xml:space="preserve">00 </w:t>
      </w:r>
      <w:proofErr w:type="spellStart"/>
      <w:r w:rsidRPr="00531E2F">
        <w:rPr>
          <w:rFonts w:ascii="Arial" w:hAnsi="Arial" w:cs="Arial"/>
        </w:rPr>
        <w:t>MB/s</w:t>
      </w:r>
      <w:proofErr w:type="spellEnd"/>
    </w:p>
    <w:p w14:paraId="4A9386B1" w14:textId="1642A0AD" w:rsidR="00531E2F" w:rsidRDefault="00531E2F" w:rsidP="00991A1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531E2F">
        <w:rPr>
          <w:rFonts w:ascii="Arial" w:hAnsi="Arial" w:cs="Arial"/>
        </w:rPr>
        <w:t>Počítačová skříň v černém provedení</w:t>
      </w:r>
      <w:r>
        <w:rPr>
          <w:rFonts w:ascii="Arial" w:hAnsi="Arial" w:cs="Arial"/>
        </w:rPr>
        <w:t xml:space="preserve"> </w:t>
      </w:r>
      <w:proofErr w:type="spellStart"/>
      <w:r w:rsidRPr="00531E2F">
        <w:rPr>
          <w:rFonts w:ascii="Arial" w:hAnsi="Arial" w:cs="Arial"/>
        </w:rPr>
        <w:t>Natec</w:t>
      </w:r>
      <w:proofErr w:type="spellEnd"/>
      <w:r w:rsidRPr="00531E2F">
        <w:rPr>
          <w:rFonts w:ascii="Arial" w:hAnsi="Arial" w:cs="Arial"/>
        </w:rPr>
        <w:t xml:space="preserve"> Helix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Pr="00531E2F">
        <w:rPr>
          <w:rFonts w:ascii="Arial" w:hAnsi="Arial" w:cs="Arial"/>
        </w:rPr>
        <w:t>icro</w:t>
      </w:r>
      <w:proofErr w:type="spellEnd"/>
      <w:r w:rsidRPr="00531E2F">
        <w:rPr>
          <w:rFonts w:ascii="Arial" w:hAnsi="Arial" w:cs="Arial"/>
        </w:rPr>
        <w:t xml:space="preserve"> ATX</w:t>
      </w:r>
      <w:r>
        <w:rPr>
          <w:rFonts w:ascii="Arial" w:hAnsi="Arial" w:cs="Arial"/>
        </w:rPr>
        <w:t xml:space="preserve"> </w:t>
      </w:r>
      <w:r w:rsidRPr="00531E2F">
        <w:rPr>
          <w:rFonts w:ascii="Arial" w:hAnsi="Arial" w:cs="Arial"/>
        </w:rPr>
        <w:t>Mini Tower</w:t>
      </w:r>
      <w:r>
        <w:rPr>
          <w:rFonts w:ascii="Arial" w:hAnsi="Arial" w:cs="Arial"/>
        </w:rPr>
        <w:t>, 4</w:t>
      </w:r>
      <w:r w:rsidRPr="00531E2F">
        <w:rPr>
          <w:rFonts w:ascii="Arial" w:hAnsi="Arial" w:cs="Arial"/>
        </w:rPr>
        <w:t>x USB v přední části</w:t>
      </w:r>
      <w:r>
        <w:rPr>
          <w:rFonts w:ascii="Arial" w:hAnsi="Arial" w:cs="Arial"/>
        </w:rPr>
        <w:t>, v</w:t>
      </w:r>
      <w:r w:rsidRPr="00531E2F">
        <w:rPr>
          <w:rFonts w:ascii="Arial" w:hAnsi="Arial" w:cs="Arial"/>
        </w:rPr>
        <w:t>olná externí pozice 5,25“</w:t>
      </w:r>
    </w:p>
    <w:p w14:paraId="41CC19BC" w14:textId="3003E2F4" w:rsidR="00531E2F" w:rsidRDefault="00531E2F" w:rsidP="00991A1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6F2F95">
        <w:rPr>
          <w:rFonts w:ascii="Arial" w:hAnsi="Arial" w:cs="Arial"/>
        </w:rPr>
        <w:t>Zdroj</w:t>
      </w:r>
      <w:r w:rsidR="006F2F95" w:rsidRPr="006F2F95">
        <w:rPr>
          <w:rFonts w:ascii="Arial" w:hAnsi="Arial" w:cs="Arial"/>
        </w:rPr>
        <w:t xml:space="preserve"> GIGABYTE </w:t>
      </w:r>
      <w:r w:rsidR="001A1762" w:rsidRPr="006F2F95">
        <w:rPr>
          <w:rFonts w:ascii="Arial" w:hAnsi="Arial" w:cs="Arial"/>
        </w:rPr>
        <w:t>450</w:t>
      </w:r>
      <w:r w:rsidR="001A1762">
        <w:rPr>
          <w:rFonts w:ascii="Arial" w:hAnsi="Arial" w:cs="Arial"/>
        </w:rPr>
        <w:t xml:space="preserve"> </w:t>
      </w:r>
      <w:r w:rsidR="001A1762" w:rsidRPr="006F2F95">
        <w:rPr>
          <w:rFonts w:ascii="Arial" w:hAnsi="Arial" w:cs="Arial"/>
        </w:rPr>
        <w:t xml:space="preserve">W </w:t>
      </w:r>
      <w:r w:rsidR="006F2F95" w:rsidRPr="006F2F95">
        <w:rPr>
          <w:rFonts w:ascii="Arial" w:hAnsi="Arial" w:cs="Arial"/>
        </w:rPr>
        <w:t>80PLUS Bronze</w:t>
      </w:r>
      <w:r w:rsidRPr="006F2F95">
        <w:rPr>
          <w:rFonts w:ascii="Arial" w:hAnsi="Arial" w:cs="Arial"/>
        </w:rPr>
        <w:t xml:space="preserve"> se 120 mm ventilátorem</w:t>
      </w:r>
    </w:p>
    <w:p w14:paraId="69CB0D38" w14:textId="4758E8D9" w:rsidR="006F2F95" w:rsidRDefault="006F2F95" w:rsidP="00991A1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6F2F95">
        <w:rPr>
          <w:rFonts w:ascii="Arial" w:hAnsi="Arial" w:cs="Arial"/>
        </w:rPr>
        <w:t>Microsoft Windows 11 Pro CZ</w:t>
      </w:r>
      <w:r>
        <w:rPr>
          <w:rFonts w:ascii="Arial" w:hAnsi="Arial" w:cs="Arial"/>
        </w:rPr>
        <w:t xml:space="preserve">, </w:t>
      </w:r>
      <w:r w:rsidRPr="006F2F95">
        <w:rPr>
          <w:rFonts w:ascii="Arial" w:hAnsi="Arial" w:cs="Arial"/>
        </w:rPr>
        <w:t>nové nepoužité licence určené pro CZ distribuci</w:t>
      </w:r>
    </w:p>
    <w:p w14:paraId="38561C15" w14:textId="118B51E6" w:rsidR="006F2F95" w:rsidRPr="006F2F95" w:rsidRDefault="006F2F95" w:rsidP="00991A1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6F2F95">
        <w:rPr>
          <w:rFonts w:ascii="Arial" w:hAnsi="Arial" w:cs="Arial"/>
        </w:rPr>
        <w:t>Microsoft Office 2024 CZ v edici Pro domácnosti a podnikatele, nové nepoužité licence určené pro CZ distribuci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69E3B79A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21</w:t>
      </w:r>
      <w:r w:rsidRPr="00280776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od smlouvy odstoupit v případě, že termín dodání je překročen o více než 7 dnů. Odstoupení od smlouvy musí být provedeno v písemné podobě a je účinné ode 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7BF5E" w14:textId="25557B55" w:rsidR="00280776" w:rsidRPr="005C34D0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33472398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43BD08FB" w:rsidR="00D612D9" w:rsidRDefault="009A6954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9A6954">
        <w:rPr>
          <w:rFonts w:ascii="Arial" w:hAnsi="Arial" w:cs="Arial"/>
          <w:sz w:val="22"/>
          <w:szCs w:val="22"/>
        </w:rPr>
        <w:t>356 500,00</w:t>
      </w:r>
      <w:r w:rsidRPr="004D180B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r w:rsidRPr="009A6954">
        <w:rPr>
          <w:rFonts w:ascii="Arial" w:hAnsi="Arial" w:cs="Arial"/>
          <w:sz w:val="22"/>
          <w:szCs w:val="22"/>
        </w:rPr>
        <w:t>tři sta padesát šest tisíc pět set korun českých</w:t>
      </w:r>
      <w:r>
        <w:rPr>
          <w:rFonts w:ascii="Arial" w:hAnsi="Arial" w:cs="Arial"/>
          <w:sz w:val="22"/>
          <w:szCs w:val="22"/>
        </w:rPr>
        <w:t>)</w:t>
      </w:r>
      <w:r w:rsidR="00B93924">
        <w:rPr>
          <w:rFonts w:ascii="Arial" w:hAnsi="Arial" w:cs="Arial"/>
          <w:sz w:val="22"/>
          <w:szCs w:val="22"/>
        </w:rPr>
        <w:t xml:space="preserve"> bez</w:t>
      </w:r>
      <w:r w:rsidR="00B93924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6D84B432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1658F873" w14:textId="7644615E" w:rsidR="00280776" w:rsidRDefault="00280776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Záruka na předmět smlouvy je </w:t>
      </w:r>
      <w:r w:rsidR="00247477">
        <w:rPr>
          <w:rFonts w:ascii="Arial" w:hAnsi="Arial" w:cs="Arial"/>
          <w:sz w:val="22"/>
          <w:szCs w:val="22"/>
        </w:rPr>
        <w:t>36</w:t>
      </w:r>
      <w:r w:rsidRPr="00280776">
        <w:rPr>
          <w:rFonts w:ascii="Arial" w:hAnsi="Arial" w:cs="Arial"/>
          <w:sz w:val="22"/>
          <w:szCs w:val="22"/>
        </w:rPr>
        <w:t xml:space="preserve"> měsíců.</w:t>
      </w:r>
    </w:p>
    <w:p w14:paraId="3CC7D27E" w14:textId="77777777" w:rsidR="00247477" w:rsidRDefault="00247477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1A7940A" w14:textId="19C52FCF" w:rsidR="00120681" w:rsidRPr="005F1E67" w:rsidRDefault="00120681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67">
        <w:rPr>
          <w:rFonts w:ascii="Arial" w:hAnsi="Arial" w:cs="Arial"/>
          <w:sz w:val="22"/>
          <w:szCs w:val="22"/>
        </w:rPr>
        <w:t xml:space="preserve">Řešení reklamací v sídle </w:t>
      </w:r>
      <w:r w:rsidR="00431CC4" w:rsidRPr="005F1E67">
        <w:rPr>
          <w:rFonts w:ascii="Arial" w:hAnsi="Arial" w:cs="Arial"/>
          <w:sz w:val="22"/>
          <w:szCs w:val="22"/>
        </w:rPr>
        <w:t>kupujícího</w:t>
      </w:r>
      <w:r w:rsidRPr="005F1E67">
        <w:rPr>
          <w:rFonts w:ascii="Arial" w:hAnsi="Arial" w:cs="Arial"/>
          <w:sz w:val="22"/>
          <w:szCs w:val="22"/>
        </w:rPr>
        <w:t>.</w:t>
      </w:r>
    </w:p>
    <w:p w14:paraId="1A2CD4C2" w14:textId="77777777" w:rsidR="00247477" w:rsidRDefault="00247477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E6F7EF" w14:textId="58E311C0" w:rsidR="00120681" w:rsidRPr="005F1E67" w:rsidRDefault="00247477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Možnost instalace dalších komponentů bez porušení záruky (např. grafické karty, řadiče apod.).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lastRenderedPageBreak/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5FCBAA6F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F3BF6" w14:textId="77777777" w:rsidR="001E6D31" w:rsidRDefault="001E6D3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B53646" w14:textId="77777777" w:rsidR="000B478C" w:rsidRPr="005C34D0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05FE0892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6362E0" w:rsidRPr="00CF3FAF">
        <w:rPr>
          <w:rFonts w:ascii="Arial" w:hAnsi="Arial" w:cs="Arial"/>
          <w:sz w:val="22"/>
          <w:szCs w:val="22"/>
        </w:rPr>
        <w:t>Ostrav</w:t>
      </w:r>
      <w:r w:rsidR="006362E0">
        <w:rPr>
          <w:rFonts w:ascii="Arial" w:hAnsi="Arial" w:cs="Arial"/>
          <w:sz w:val="22"/>
          <w:szCs w:val="22"/>
        </w:rPr>
        <w:t>ě</w:t>
      </w:r>
      <w:r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714B39E8" w:rsidR="0086703B" w:rsidRDefault="006362E0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62E0">
        <w:rPr>
          <w:rFonts w:ascii="Arial" w:hAnsi="Arial" w:cs="Arial"/>
          <w:sz w:val="22"/>
          <w:szCs w:val="22"/>
        </w:rPr>
        <w:t>Čestmír Černý</w:t>
      </w:r>
      <w:r w:rsidR="00A75DF1">
        <w:rPr>
          <w:rFonts w:ascii="Arial" w:hAnsi="Arial" w:cs="Arial"/>
          <w:sz w:val="22"/>
          <w:szCs w:val="22"/>
        </w:rPr>
        <w:tab/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8F3139" w:rsidRPr="008F3139">
        <w:rPr>
          <w:rFonts w:ascii="Arial" w:hAnsi="Arial" w:cs="Arial"/>
          <w:sz w:val="22"/>
          <w:szCs w:val="22"/>
        </w:rPr>
        <w:t>Ing. Martina Vacková</w:t>
      </w:r>
    </w:p>
    <w:p w14:paraId="4CA04161" w14:textId="3C4AA995" w:rsidR="008F3139" w:rsidRPr="008F3139" w:rsidRDefault="006362E0" w:rsidP="008F31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62E0">
        <w:rPr>
          <w:rFonts w:ascii="Arial" w:hAnsi="Arial" w:cs="Arial"/>
          <w:sz w:val="22"/>
          <w:szCs w:val="22"/>
        </w:rPr>
        <w:t>jednatel</w:t>
      </w:r>
      <w:r w:rsidR="008F3139">
        <w:rPr>
          <w:rFonts w:ascii="Arial" w:hAnsi="Arial" w:cs="Arial"/>
          <w:sz w:val="22"/>
          <w:szCs w:val="22"/>
        </w:rPr>
        <w:tab/>
      </w:r>
      <w:r w:rsidR="008F3139">
        <w:rPr>
          <w:rFonts w:ascii="Arial" w:hAnsi="Arial" w:cs="Arial"/>
          <w:sz w:val="22"/>
          <w:szCs w:val="22"/>
        </w:rPr>
        <w:tab/>
      </w:r>
      <w:r w:rsidR="008F3139">
        <w:rPr>
          <w:rFonts w:ascii="Arial" w:hAnsi="Arial" w:cs="Arial"/>
          <w:sz w:val="22"/>
          <w:szCs w:val="22"/>
        </w:rPr>
        <w:tab/>
      </w:r>
      <w:r w:rsidR="008F3139">
        <w:rPr>
          <w:rFonts w:ascii="Arial" w:hAnsi="Arial" w:cs="Arial"/>
          <w:sz w:val="22"/>
          <w:szCs w:val="22"/>
        </w:rPr>
        <w:tab/>
      </w:r>
      <w:r w:rsidR="008F3139">
        <w:rPr>
          <w:rFonts w:ascii="Arial" w:hAnsi="Arial" w:cs="Arial"/>
          <w:sz w:val="22"/>
          <w:szCs w:val="22"/>
        </w:rPr>
        <w:tab/>
      </w:r>
      <w:r w:rsidR="008F3139">
        <w:rPr>
          <w:rFonts w:ascii="Arial" w:hAnsi="Arial" w:cs="Arial"/>
          <w:sz w:val="22"/>
          <w:szCs w:val="22"/>
        </w:rPr>
        <w:tab/>
      </w:r>
      <w:r w:rsidR="008F3139" w:rsidRPr="008F3139">
        <w:rPr>
          <w:rFonts w:ascii="Arial" w:hAnsi="Arial" w:cs="Arial"/>
          <w:sz w:val="22"/>
          <w:szCs w:val="22"/>
        </w:rPr>
        <w:t>vedoucí kanceláře tajemníka</w:t>
      </w:r>
    </w:p>
    <w:p w14:paraId="3AF913A2" w14:textId="77777777" w:rsidR="008F3139" w:rsidRPr="008F3139" w:rsidRDefault="008F3139" w:rsidP="008F31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730F30" w14:textId="77777777" w:rsidR="008F3139" w:rsidRPr="008F3139" w:rsidRDefault="008F3139" w:rsidP="008F31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1A560A" w14:textId="77777777" w:rsidR="008F3139" w:rsidRPr="008F3139" w:rsidRDefault="008F3139" w:rsidP="008F31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63A0EA" w14:textId="77777777" w:rsidR="008F3139" w:rsidRPr="008F3139" w:rsidRDefault="008F3139" w:rsidP="008F31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2109CD" w14:textId="77777777" w:rsidR="008F3139" w:rsidRPr="008F3139" w:rsidRDefault="008F3139" w:rsidP="008F31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581BA50" w14:textId="77777777" w:rsidR="008F3139" w:rsidRPr="008F3139" w:rsidRDefault="008F3139" w:rsidP="008F31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Jiří Hruška</w:t>
      </w:r>
    </w:p>
    <w:p w14:paraId="06A60737" w14:textId="1CD57BC9" w:rsidR="008F3139" w:rsidRDefault="008F3139" w:rsidP="008F31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vedoucí odd. informačních technologií</w:t>
      </w:r>
    </w:p>
    <w:p w14:paraId="5C7FB1B1" w14:textId="77777777" w:rsidR="008F3139" w:rsidRDefault="008F3139" w:rsidP="008F31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sectPr w:rsidR="008F3139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97E1" w14:textId="77777777" w:rsidR="00D0229D" w:rsidRDefault="00D0229D" w:rsidP="002B7F67">
      <w:r>
        <w:separator/>
      </w:r>
    </w:p>
  </w:endnote>
  <w:endnote w:type="continuationSeparator" w:id="0">
    <w:p w14:paraId="3E383FB0" w14:textId="77777777" w:rsidR="00D0229D" w:rsidRDefault="00D0229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25FC" w14:textId="77777777" w:rsidR="00D0229D" w:rsidRDefault="00D0229D" w:rsidP="002B7F67">
      <w:r>
        <w:separator/>
      </w:r>
    </w:p>
  </w:footnote>
  <w:footnote w:type="continuationSeparator" w:id="0">
    <w:p w14:paraId="0D131171" w14:textId="77777777" w:rsidR="00D0229D" w:rsidRDefault="00D0229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61B35394" w:rsidR="00BF55F1" w:rsidRPr="007E0384" w:rsidRDefault="00894466" w:rsidP="00BF55F1">
    <w:pPr>
      <w:pStyle w:val="Zhlav"/>
      <w:jc w:val="right"/>
      <w:rPr>
        <w:rFonts w:ascii="Arial" w:hAnsi="Arial" w:cs="Arial"/>
      </w:rPr>
    </w:pPr>
    <w:r w:rsidRPr="00894466">
      <w:rPr>
        <w:rFonts w:ascii="Arial" w:hAnsi="Arial" w:cs="Arial"/>
      </w:rPr>
      <w:t>MUJNX01HU9PP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23B4D"/>
    <w:multiLevelType w:val="hybridMultilevel"/>
    <w:tmpl w:val="5BE82CA4"/>
    <w:lvl w:ilvl="0" w:tplc="BBDC8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10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8"/>
  </w:num>
  <w:num w:numId="9" w16cid:durableId="948973097">
    <w:abstractNumId w:val="12"/>
  </w:num>
  <w:num w:numId="10" w16cid:durableId="1542933645">
    <w:abstractNumId w:val="13"/>
  </w:num>
  <w:num w:numId="11" w16cid:durableId="195241885">
    <w:abstractNumId w:val="9"/>
  </w:num>
  <w:num w:numId="12" w16cid:durableId="1504467951">
    <w:abstractNumId w:val="11"/>
  </w:num>
  <w:num w:numId="13" w16cid:durableId="1820875045">
    <w:abstractNumId w:val="4"/>
  </w:num>
  <w:num w:numId="14" w16cid:durableId="1093937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43A4"/>
    <w:rsid w:val="000258FB"/>
    <w:rsid w:val="000635A4"/>
    <w:rsid w:val="000761FF"/>
    <w:rsid w:val="00076B63"/>
    <w:rsid w:val="0008241C"/>
    <w:rsid w:val="000A413D"/>
    <w:rsid w:val="000B1F64"/>
    <w:rsid w:val="000B478C"/>
    <w:rsid w:val="000B59D3"/>
    <w:rsid w:val="000E19F3"/>
    <w:rsid w:val="000E25EA"/>
    <w:rsid w:val="000F61BF"/>
    <w:rsid w:val="000F659C"/>
    <w:rsid w:val="0010798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1762"/>
    <w:rsid w:val="001A1B37"/>
    <w:rsid w:val="001A4E67"/>
    <w:rsid w:val="001E6D31"/>
    <w:rsid w:val="001F65D2"/>
    <w:rsid w:val="001F7A05"/>
    <w:rsid w:val="0020069F"/>
    <w:rsid w:val="00220EFD"/>
    <w:rsid w:val="002424AA"/>
    <w:rsid w:val="00242896"/>
    <w:rsid w:val="00247477"/>
    <w:rsid w:val="002510D5"/>
    <w:rsid w:val="0025535D"/>
    <w:rsid w:val="00266137"/>
    <w:rsid w:val="0027448B"/>
    <w:rsid w:val="00280776"/>
    <w:rsid w:val="0028534C"/>
    <w:rsid w:val="00295A65"/>
    <w:rsid w:val="002B7F67"/>
    <w:rsid w:val="002D32DD"/>
    <w:rsid w:val="002E3522"/>
    <w:rsid w:val="002F584B"/>
    <w:rsid w:val="00301049"/>
    <w:rsid w:val="00306439"/>
    <w:rsid w:val="00310188"/>
    <w:rsid w:val="003130FA"/>
    <w:rsid w:val="0031488B"/>
    <w:rsid w:val="00315AEE"/>
    <w:rsid w:val="00336363"/>
    <w:rsid w:val="003410D0"/>
    <w:rsid w:val="00342194"/>
    <w:rsid w:val="0036104C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E2CE4"/>
    <w:rsid w:val="003E6CED"/>
    <w:rsid w:val="003F0BF0"/>
    <w:rsid w:val="003F44D6"/>
    <w:rsid w:val="003F79ED"/>
    <w:rsid w:val="00402280"/>
    <w:rsid w:val="004225C4"/>
    <w:rsid w:val="004279F6"/>
    <w:rsid w:val="00431CC4"/>
    <w:rsid w:val="00437831"/>
    <w:rsid w:val="00456985"/>
    <w:rsid w:val="00462CA4"/>
    <w:rsid w:val="00482508"/>
    <w:rsid w:val="004858E2"/>
    <w:rsid w:val="004A19FE"/>
    <w:rsid w:val="004B655B"/>
    <w:rsid w:val="004C4AE4"/>
    <w:rsid w:val="004C5751"/>
    <w:rsid w:val="004D180B"/>
    <w:rsid w:val="004E017A"/>
    <w:rsid w:val="004E536B"/>
    <w:rsid w:val="004F4116"/>
    <w:rsid w:val="0052187C"/>
    <w:rsid w:val="00531E2F"/>
    <w:rsid w:val="00536CC4"/>
    <w:rsid w:val="0057255B"/>
    <w:rsid w:val="00596E81"/>
    <w:rsid w:val="005A3CDF"/>
    <w:rsid w:val="005D0634"/>
    <w:rsid w:val="005D59AD"/>
    <w:rsid w:val="005F0CC9"/>
    <w:rsid w:val="005F1E67"/>
    <w:rsid w:val="006006BD"/>
    <w:rsid w:val="006054C7"/>
    <w:rsid w:val="00622599"/>
    <w:rsid w:val="0062677F"/>
    <w:rsid w:val="00631B5B"/>
    <w:rsid w:val="006362E0"/>
    <w:rsid w:val="006376A9"/>
    <w:rsid w:val="00647A70"/>
    <w:rsid w:val="00665BC0"/>
    <w:rsid w:val="00667FE6"/>
    <w:rsid w:val="0067746B"/>
    <w:rsid w:val="00690E56"/>
    <w:rsid w:val="0069214D"/>
    <w:rsid w:val="006A1163"/>
    <w:rsid w:val="006A1BAE"/>
    <w:rsid w:val="006C0195"/>
    <w:rsid w:val="006C3D6E"/>
    <w:rsid w:val="006F2F95"/>
    <w:rsid w:val="006F66BC"/>
    <w:rsid w:val="00715917"/>
    <w:rsid w:val="0072561F"/>
    <w:rsid w:val="007353D1"/>
    <w:rsid w:val="0074318D"/>
    <w:rsid w:val="00791BB3"/>
    <w:rsid w:val="0079368B"/>
    <w:rsid w:val="007A0F75"/>
    <w:rsid w:val="007E0384"/>
    <w:rsid w:val="007F13CB"/>
    <w:rsid w:val="00800DD2"/>
    <w:rsid w:val="00831782"/>
    <w:rsid w:val="00831EDC"/>
    <w:rsid w:val="008338FD"/>
    <w:rsid w:val="00837A89"/>
    <w:rsid w:val="00863EE1"/>
    <w:rsid w:val="0086703B"/>
    <w:rsid w:val="00894466"/>
    <w:rsid w:val="008979C8"/>
    <w:rsid w:val="008A6BFB"/>
    <w:rsid w:val="008A7FBC"/>
    <w:rsid w:val="008B6CB3"/>
    <w:rsid w:val="008C6FD8"/>
    <w:rsid w:val="008E463C"/>
    <w:rsid w:val="008F3139"/>
    <w:rsid w:val="008F37D2"/>
    <w:rsid w:val="008F4738"/>
    <w:rsid w:val="00912674"/>
    <w:rsid w:val="0091585E"/>
    <w:rsid w:val="00923AC6"/>
    <w:rsid w:val="009310AC"/>
    <w:rsid w:val="00947A5F"/>
    <w:rsid w:val="00954DC1"/>
    <w:rsid w:val="00955F91"/>
    <w:rsid w:val="009614E3"/>
    <w:rsid w:val="009627A6"/>
    <w:rsid w:val="00974C26"/>
    <w:rsid w:val="0099074F"/>
    <w:rsid w:val="00991A19"/>
    <w:rsid w:val="00993C2B"/>
    <w:rsid w:val="009A6954"/>
    <w:rsid w:val="009A7A0E"/>
    <w:rsid w:val="009B46F1"/>
    <w:rsid w:val="009C048F"/>
    <w:rsid w:val="009F1554"/>
    <w:rsid w:val="009F69ED"/>
    <w:rsid w:val="00A17638"/>
    <w:rsid w:val="00A2505C"/>
    <w:rsid w:val="00A30A6A"/>
    <w:rsid w:val="00A35CDE"/>
    <w:rsid w:val="00A36206"/>
    <w:rsid w:val="00A4709D"/>
    <w:rsid w:val="00A61BC8"/>
    <w:rsid w:val="00A66FB4"/>
    <w:rsid w:val="00A73F28"/>
    <w:rsid w:val="00A75DF1"/>
    <w:rsid w:val="00A852B8"/>
    <w:rsid w:val="00A90DAE"/>
    <w:rsid w:val="00A91B25"/>
    <w:rsid w:val="00AC39FF"/>
    <w:rsid w:val="00AC5A2A"/>
    <w:rsid w:val="00AD446A"/>
    <w:rsid w:val="00AD5FF9"/>
    <w:rsid w:val="00AE1D8F"/>
    <w:rsid w:val="00B109E2"/>
    <w:rsid w:val="00B13F1E"/>
    <w:rsid w:val="00B22AD3"/>
    <w:rsid w:val="00B25545"/>
    <w:rsid w:val="00B315A5"/>
    <w:rsid w:val="00B40DD2"/>
    <w:rsid w:val="00B437CF"/>
    <w:rsid w:val="00B47294"/>
    <w:rsid w:val="00B57C59"/>
    <w:rsid w:val="00B6117D"/>
    <w:rsid w:val="00B74F0F"/>
    <w:rsid w:val="00B85BB6"/>
    <w:rsid w:val="00B93924"/>
    <w:rsid w:val="00BB4C55"/>
    <w:rsid w:val="00BF55F1"/>
    <w:rsid w:val="00C013DE"/>
    <w:rsid w:val="00C03C2A"/>
    <w:rsid w:val="00C2469A"/>
    <w:rsid w:val="00C26B0A"/>
    <w:rsid w:val="00C369C1"/>
    <w:rsid w:val="00C42671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F044A"/>
    <w:rsid w:val="00CF3FAF"/>
    <w:rsid w:val="00CF4102"/>
    <w:rsid w:val="00D0229D"/>
    <w:rsid w:val="00D3417C"/>
    <w:rsid w:val="00D35CD7"/>
    <w:rsid w:val="00D379AD"/>
    <w:rsid w:val="00D47257"/>
    <w:rsid w:val="00D473E6"/>
    <w:rsid w:val="00D612D9"/>
    <w:rsid w:val="00D61D11"/>
    <w:rsid w:val="00D80772"/>
    <w:rsid w:val="00D96E21"/>
    <w:rsid w:val="00DD2FEE"/>
    <w:rsid w:val="00DE3C6D"/>
    <w:rsid w:val="00DE6B52"/>
    <w:rsid w:val="00DF1144"/>
    <w:rsid w:val="00E12F9D"/>
    <w:rsid w:val="00E204C9"/>
    <w:rsid w:val="00E24DA5"/>
    <w:rsid w:val="00E257A0"/>
    <w:rsid w:val="00E53116"/>
    <w:rsid w:val="00E66A95"/>
    <w:rsid w:val="00E84FDC"/>
    <w:rsid w:val="00E87463"/>
    <w:rsid w:val="00EA0F2E"/>
    <w:rsid w:val="00EA15C7"/>
    <w:rsid w:val="00EB02A4"/>
    <w:rsid w:val="00EB7ADD"/>
    <w:rsid w:val="00EC035E"/>
    <w:rsid w:val="00ED1AC1"/>
    <w:rsid w:val="00EE1456"/>
    <w:rsid w:val="00EE3A76"/>
    <w:rsid w:val="00EE552A"/>
    <w:rsid w:val="00EF2E5F"/>
    <w:rsid w:val="00EF7704"/>
    <w:rsid w:val="00F26946"/>
    <w:rsid w:val="00F36DCD"/>
    <w:rsid w:val="00F4029D"/>
    <w:rsid w:val="00F478E8"/>
    <w:rsid w:val="00F50A26"/>
    <w:rsid w:val="00F526CD"/>
    <w:rsid w:val="00F534B8"/>
    <w:rsid w:val="00F625CF"/>
    <w:rsid w:val="00F80276"/>
    <w:rsid w:val="00F81761"/>
    <w:rsid w:val="00F933A0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4486</TotalTime>
  <Pages>3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5011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48</cp:revision>
  <cp:lastPrinted>2023-05-09T07:58:00Z</cp:lastPrinted>
  <dcterms:created xsi:type="dcterms:W3CDTF">2023-05-09T07:58:00Z</dcterms:created>
  <dcterms:modified xsi:type="dcterms:W3CDTF">2025-06-25T08:54:00Z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