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38" w:lineRule="auto"/>
        <w:ind w:left="5480" w:right="236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OB-2025-00001159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3" w:val="left"/>
        </w:tabs>
        <w:bidi w:val="0"/>
        <w:spacing w:before="0" w:line="240" w:lineRule="auto"/>
        <w:ind w:left="0" w:right="0" w:firstLine="0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RWA; položka Perseus VPAgro</w:t>
      </w:r>
    </w:p>
    <w:tbl>
      <w:tblPr>
        <w:tblOverlap w:val="never"/>
        <w:jc w:val="center"/>
        <w:tblLayout w:type="fixed"/>
      </w:tblPr>
      <w:tblGrid>
        <w:gridCol w:w="2678"/>
        <w:gridCol w:w="1392"/>
        <w:gridCol w:w="835"/>
        <w:gridCol w:w="1142"/>
        <w:gridCol w:w="1738"/>
        <w:gridCol w:w="1680"/>
      </w:tblGrid>
      <w:tr>
        <w:trPr>
          <w:trHeight w:val="58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700" w:right="0" w:firstLine="2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Investo 100 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herbicid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7 248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Major 300 SL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herbicid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21284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Fůry Power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insekticid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3 756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Alphamiprid 20 SP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x 500 g; insekticid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12 094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Galeona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700" w:right="0" w:firstLine="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herbicid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22 137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Buzz Ulra DF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fungicid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3 393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Azir250SC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fungicid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6 044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Priaxor 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fungicid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18 743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Gavial 375 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fungicid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31551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Tregus 500 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regulátor růstu proti poléhání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9 584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Dash HC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smáčedlo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2 166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Perseus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fungicid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7 260</w:t>
            </w:r>
          </w:p>
        </w:tc>
      </w:tr>
      <w:tr>
        <w:trPr>
          <w:trHeight w:val="394" w:hRule="exact"/>
        </w:trPr>
        <w:tc>
          <w:tcPr>
            <w:gridSpan w:val="6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145260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85298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Q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widowControl w:val="0"/>
        <w:spacing w:after="38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194" w:left="1083" w:right="1313" w:bottom="981" w:header="1766" w:footer="55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widowControl w:val="0"/>
        <w:spacing w:line="66" w:lineRule="exact"/>
        <w:rPr>
          <w:sz w:val="5"/>
          <w:szCs w:val="5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94" w:left="0" w:right="0" w:bottom="9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586" w:h="259" w:wrap="none" w:vAnchor="text" w:hAnchor="page" w:x="108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</w:r>
    </w:p>
    <w:p>
      <w:pPr>
        <w:pStyle w:val="Style15"/>
        <w:keepNext/>
        <w:keepLines/>
        <w:framePr w:w="1133" w:h="317" w:wrap="none" w:vAnchor="text" w:hAnchor="page" w:x="255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26. 6. 2025</w:t>
      </w:r>
      <w:bookmarkEnd w:id="0"/>
    </w:p>
    <w:p>
      <w:pPr>
        <w:widowControl w:val="0"/>
        <w:spacing w:after="303" w:line="14" w:lineRule="exact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94" w:left="1083" w:right="1313" w:bottom="9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FakLurujlc: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Dmovská 507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61 06 Praha 6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610" w:left="1204" w:right="5632" w:bottom="610" w:header="182" w:footer="18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Základní text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40"/>
      <w:jc w:val="both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after="40" w:line="288" w:lineRule="auto"/>
      <w:ind w:left="2740" w:right="1180" w:firstLine="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ind w:left="1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Základní text (2)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